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12792-2019 i Borgholms kommun</w:t>
      </w:r>
    </w:p>
    <w:p>
      <w:r>
        <w:t>Detta dokument behandlar höga naturvärden i avverkningsanmälan A 12792-2019 i Borgholms kommun. Denna avverkningsanmälan inkom 2019-03-01 och omfattar 8,8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ask (EN), nålkörvel (EN, §8), solvända (NT), åkerranunkel (NT), tvåblad (S, §8)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99796"/>
            <wp:docPr id="1" name="Picture 1"/>
            <wp:cNvGraphicFramePr>
              <a:graphicFrameLocks noChangeAspect="1"/>
            </wp:cNvGraphicFramePr>
            <a:graphic>
              <a:graphicData uri="http://schemas.openxmlformats.org/drawingml/2006/picture">
                <pic:pic>
                  <pic:nvPicPr>
                    <pic:cNvPr id="0" name="A 12792-2019 karta.png"/>
                    <pic:cNvPicPr/>
                  </pic:nvPicPr>
                  <pic:blipFill>
                    <a:blip r:embed="rId16"/>
                    <a:stretch>
                      <a:fillRect/>
                    </a:stretch>
                  </pic:blipFill>
                  <pic:spPr>
                    <a:xfrm>
                      <a:off x="0" y="0"/>
                      <a:ext cx="5486400" cy="2599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6296263, E 602526 i SWEREF 99 TM.</w:t>
      </w:r>
    </w:p>
    <w:p>
      <w:pPr>
        <w:pStyle w:val="Heading1"/>
      </w:pPr>
      <w:r>
        <w:t>Fridlysta arter</w:t>
      </w:r>
    </w:p>
    <w:p>
      <w:r>
        <w:t>Följande fridlysta arter har sina livsmiljöer och växtplatser i den avverkningsanmälda skogen: nålkörvel (EN, §8), tvåblad (S,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