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44885-2025 i Borgholms kommun</w:t>
      </w:r>
    </w:p>
    <w:p>
      <w:r>
        <w:t>Detta klagomål behandlar höga naturvärden i avverkningsanmälan A 44885-2025 i Borgholms kommun som inkom 2025-09-18 och omfattar 4,4 ha.</w:t>
      </w:r>
    </w:p>
    <w:p>
      <w:pPr>
        <w:pStyle w:val="Caption"/>
      </w:pPr>
      <w:r>
        <w:drawing>
          <wp:inline xmlns:a="http://schemas.openxmlformats.org/drawingml/2006/main" xmlns:pic="http://schemas.openxmlformats.org/drawingml/2006/picture">
            <wp:extent cx="4779835" cy="5724000"/>
            <wp:docPr id="1" name="Picture 1"/>
            <wp:cNvGraphicFramePr>
              <a:graphicFrameLocks noChangeAspect="1"/>
            </wp:cNvGraphicFramePr>
            <a:graphic>
              <a:graphicData uri="http://schemas.openxmlformats.org/drawingml/2006/picture">
                <pic:pic>
                  <pic:nvPicPr>
                    <pic:cNvPr id="0" name="A 44885-2025 karta.png"/>
                    <pic:cNvPicPr/>
                  </pic:nvPicPr>
                  <pic:blipFill>
                    <a:blip r:embed="rId16"/>
                    <a:stretch>
                      <a:fillRect/>
                    </a:stretch>
                  </pic:blipFill>
                  <pic:spPr>
                    <a:xfrm>
                      <a:off x="0" y="0"/>
                      <a:ext cx="4779835"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6356573, E 622647 i SWEREF 99 TM.</w:t>
      </w:r>
    </w:p>
    <w:p>
      <w:r>
        <w:t>I och inom 8 meter från avverkningsanmälan finns fynd av 11 naturvårdsarter, varav 5 är rödlistade, 3 är fridlysta, 7 är typiska (T) och 4 är signalarter (S): ask (EN), skogsalm (EN), skogskorn (VU, T), rosa skärelav (NT, T), solvända (NT), murgröna (S, T), myskmadra (S, T), skogsknipprot (S, T, §8), strävlosta (S, T), blåsippa (T, §9) och brudsporre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Skogskorn (VU) </w:t>
      </w:r>
      <w:r>
        <w:t xml:space="preserve">är ett mycket sällsynt och värmeälskande lundgräs som växer på kalkhaltig mark i halvöppna ödellövskogar och extremrika kalkbarrskogar. Arten är placerad högst upp i Skogsstyrelsens värdepyramid för bedömning av skog med höga naturvärden. Dess växtplatser bör ej betas eller slutavverkas. Skogskorn är typisk art för </w:t>
      </w:r>
      <w:r>
        <w:rPr>
          <w:i/>
        </w:rPr>
        <w:t>9020 Nordlig ädellövskog</w:t>
      </w:r>
      <w:r>
        <w:t xml:space="preserve"> (SLU Artdatabanken, 2024; Nitare &amp; Skogsstyrelsen, 2019).</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