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1803-2026 i Borgholms kommun</w:t>
      </w:r>
    </w:p>
    <w:p>
      <w:r>
        <w:t>Denna tillsynsbegäran behandlar höga naturvärden i samrådsanmälan S 1803-2026 i Borgholms kommun som inkom 2026-06-23 och omfattar 2,0 ha.</w:t>
      </w:r>
    </w:p>
    <w:p>
      <w:pPr>
        <w:pStyle w:val="Caption"/>
      </w:pPr>
      <w:r>
        <w:drawing>
          <wp:inline xmlns:a="http://schemas.openxmlformats.org/drawingml/2006/main" xmlns:pic="http://schemas.openxmlformats.org/drawingml/2006/picture">
            <wp:extent cx="5486400" cy="4921524"/>
            <wp:docPr id="1" name="Picture 1"/>
            <wp:cNvGraphicFramePr>
              <a:graphicFrameLocks noChangeAspect="1"/>
            </wp:cNvGraphicFramePr>
            <a:graphic>
              <a:graphicData uri="http://schemas.openxmlformats.org/drawingml/2006/picture">
                <pic:pic>
                  <pic:nvPicPr>
                    <pic:cNvPr id="0" name="S 1803-2026 karta.png"/>
                    <pic:cNvPicPr/>
                  </pic:nvPicPr>
                  <pic:blipFill>
                    <a:blip r:embed="rId16"/>
                    <a:stretch>
                      <a:fillRect/>
                    </a:stretch>
                  </pic:blipFill>
                  <pic:spPr>
                    <a:xfrm>
                      <a:off x="0" y="0"/>
                      <a:ext cx="5486400" cy="4921524"/>
                    </a:xfrm>
                    <a:prstGeom prst="rect"/>
                  </pic:spPr>
                </pic:pic>
              </a:graphicData>
            </a:graphic>
          </wp:inline>
        </w:drawing>
      </w:r>
    </w:p>
    <w:p>
      <w:pPr>
        <w:pStyle w:val="Caption"/>
        <w:spacing w:after="240"/>
      </w:pPr>
      <w:r>
        <w:t>Figur 1. Fyndplatser för naturvårdsarter inom 1 meter från samrådsanmälan. Markörer utan svart kant är placerade på fyndplatsen. Markörer med svart kant är placerade vid sidan av fyndplatsen och har ett svart streck som visar fyndplatsens exakta position. Kartans mittpunktskoordinat är N 6357123, E 624666 i SWEREF 99 TM.</w:t>
      </w:r>
    </w:p>
    <w:p>
      <w:r>
        <w:t>Inom 1 meter från samrådsanmälan finns fynd av 1 naturvårdsarter, varav 1 är rödlistad: purpurmusseron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