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34948-2022 i Borgholms kommun</w:t>
      </w:r>
    </w:p>
    <w:p>
      <w:r>
        <w:t>Denna tillsynsbegäran behandlar höga naturvärden i avverkningsanmälan A 34948-2022 i Borgholms kommun som inkom 2022-08-23 och omfattar 2,8 ha.</w:t>
      </w:r>
    </w:p>
    <w:p>
      <w:pPr>
        <w:pStyle w:val="Caption"/>
      </w:pPr>
      <w:r>
        <w:drawing>
          <wp:inline xmlns:a="http://schemas.openxmlformats.org/drawingml/2006/main" xmlns:pic="http://schemas.openxmlformats.org/drawingml/2006/picture">
            <wp:extent cx="5486400" cy="4622300"/>
            <wp:docPr id="1" name="Picture 1"/>
            <wp:cNvGraphicFramePr>
              <a:graphicFrameLocks noChangeAspect="1"/>
            </wp:cNvGraphicFramePr>
            <a:graphic>
              <a:graphicData uri="http://schemas.openxmlformats.org/drawingml/2006/picture">
                <pic:pic>
                  <pic:nvPicPr>
                    <pic:cNvPr id="0" name="A 34948-2022 karta.png"/>
                    <pic:cNvPicPr/>
                  </pic:nvPicPr>
                  <pic:blipFill>
                    <a:blip r:embed="rId16"/>
                    <a:stretch>
                      <a:fillRect/>
                    </a:stretch>
                  </pic:blipFill>
                  <pic:spPr>
                    <a:xfrm>
                      <a:off x="0" y="0"/>
                      <a:ext cx="5486400" cy="46223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6346092, E 620059 i SWEREF 99 TM.</w:t>
      </w:r>
    </w:p>
    <w:p>
      <w:r>
        <w:t>I och inom 21 meter från avverkningsanmälan finns fynd av 13 naturvårdsarter, varav 8 är rödlistade, 3 är fridlysta, 3 är typiska (T) och 4 är signalarter (S): blåfotad fagerspindling (VU), brödmusseron (VU), gulsträngad fagerspindling (VU), skillerticka (VU), svartgrön spindling (VU), bittermusseron (NT), juvelspindling (NT), persiljespindling (NT), fransig jordstjärna (S), murgröna (S, T), purpurknipprot (S, §8), skogsknipprot (S, T, §8)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Blåfotad fagerspindling (VU) </w:t>
      </w:r>
      <w:r>
        <w:t>bildar mykorrhiza med barrträd och växer enbart i örtrika äldre grandominerade kalkbarrskogar med lång kontinuitet och hög bonitet, miljöer som idag är starkt hotade av slutavverkningar.</w:t>
      </w:r>
      <w:r>
        <w:rPr>
          <w:b/>
        </w:rPr>
        <w:t xml:space="preserve"> </w:t>
      </w:r>
      <w:r>
        <w:t>Arten är placerad högst upp i Skogsstyrelsens värdepyramid för bedömning av skog med höga naturvärden och är liksom en lång rad följearter knutna till kalkrika barrblandskogar med lång kontinuitet beroende av områdesskydd eller naturvårdsavtal som förhindrar slutavverkningar av dess växtmiljöer (SLU Artdatabanken, 2024; Nitare &amp; Skogsstyrelsen, 2019).</w:t>
      </w:r>
    </w:p>
    <w:p>
      <w:r>
        <w:rPr>
          <w:b/>
        </w:rPr>
        <w:t xml:space="preserve">Brödmusseron (VU) </w:t>
      </w:r>
      <w:r>
        <w:t>är en mycket sällsynt art som påträffas i ädellövskog, främst under äldre ekar. Skogsbruk som innebär att miljön på växtplatserna förstörs eller förändras innebär troligen att arten försvinner. Samtliga kända växtplatserna måste säkerställas om förhållandena är intakta och förutsättningar för ett långsiktigt bevarande är goda. Arten är placerad högst upp i Skogsstyrelsens värdepyramid för bedömning av skog med höga naturvärden (SLU Artdatabanken, 2026; Nitare &amp; Skogsstyrelsen, 2019).</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 xml:space="preserve">Skillerticka (VU) </w:t>
      </w:r>
      <w:r>
        <w:t xml:space="preserve">är en sydlig ädellövskogsart framförallt knuten till bok, påträffas i parker, bokskog eller andra ädellövsmiljöer. Arten hotas av att olikåldriga bestånd med främst bok i hagmarks- och skogsmiljö avverkas. Spara värdträd och passande värdträd på svampens växtplatser. Olikåldriga bestånd med främst bok i hagmarks- och skogsmiljö sparas. En sällsynt och starkt hotad skalbagge </w:t>
      </w:r>
      <w:r>
        <w:rPr>
          <w:i/>
        </w:rPr>
        <w:t>Dorcatoma ambjoerni</w:t>
      </w:r>
      <w:r>
        <w:t xml:space="preserve"> (EN) har sin larvutveckling i fruktkroppar av skillerticka (SLU Artdatabanken, 2025).</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Bittermusseron (NT)</w:t>
      </w:r>
      <w:r>
        <w:t xml:space="preserve"> är en kalkgynnad och värmeälskande förnasvamp som påträffas i äldre kalkbarrskogar, gärna på relativt torr mark. Virkesrika, äldre barrskogar med hög bonitet, på bättre jordar är en bristvara i befintliga, skyddade områden i Sverige. Därför måste fler örtrika barrskogar, särskilt de med trädkontinuitet, skyddas i större utsträckning än vad som tidigare gjorts. Uttag av skog ska helst göras genom plockhuggning, blädning eller andra alternativa, skonsamma avverkningsformer (SLU Artdatabanken, 2024; Nitare &amp; Skogsstyrelsen, 2019).</w:t>
      </w:r>
    </w:p>
    <w:p>
      <w:r>
        <w:rPr>
          <w:b/>
        </w:rPr>
        <w:t xml:space="preserve">Juvelspindling (NT) </w:t>
      </w:r>
      <w:r>
        <w:t>bildar mykorrhiza med främst ek och bok, men sällsynt även med hassel och lind i ängsbokskog, ek-hassellund, löväng och lågskogar av hassel (hässlen). Avverkning av artens värdträd, ändrad markanvändning och omföring av lövskog till barrskog är de viktigaste hoten. Platser där arten ännu finns kvar bör skyddas från omfattande avverkningar eller andra förändringar av miljön (SLU Artdatabanken, 2025).</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Skogsknipprot (§8)</w:t>
      </w:r>
      <w:r>
        <w:t xml:space="preserve"> är fridlyst enligt 8§ artskyddsförordningen och typisk art för </w:t>
      </w:r>
      <w:r>
        <w:rPr>
          <w:i/>
        </w:rPr>
        <w:t>9050 Näringsrik granskog</w:t>
      </w:r>
      <w:r>
        <w:t xml:space="preserv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