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16171-2023 i Borgholms kommun</w:t>
      </w:r>
    </w:p>
    <w:p>
      <w:r>
        <w:t>Denna tillsynsbegäran behandlar höga naturvärden i avverkningsanmälan A 16171-2023 i Borgholms kommun som inkom 2023-04-11 och omfattar 12,2 ha.</w:t>
      </w:r>
    </w:p>
    <w:p>
      <w:pPr>
        <w:pStyle w:val="Caption"/>
      </w:pPr>
      <w:r>
        <w:drawing>
          <wp:inline xmlns:a="http://schemas.openxmlformats.org/drawingml/2006/main" xmlns:pic="http://schemas.openxmlformats.org/drawingml/2006/picture">
            <wp:extent cx="5369710" cy="5724000"/>
            <wp:docPr id="1" name="Picture 1"/>
            <wp:cNvGraphicFramePr>
              <a:graphicFrameLocks noChangeAspect="1"/>
            </wp:cNvGraphicFramePr>
            <a:graphic>
              <a:graphicData uri="http://schemas.openxmlformats.org/drawingml/2006/picture">
                <pic:pic>
                  <pic:nvPicPr>
                    <pic:cNvPr id="0" name="A 16171-2023 karta.png"/>
                    <pic:cNvPicPr/>
                  </pic:nvPicPr>
                  <pic:blipFill>
                    <a:blip r:embed="rId16"/>
                    <a:stretch>
                      <a:fillRect/>
                    </a:stretch>
                  </pic:blipFill>
                  <pic:spPr>
                    <a:xfrm>
                      <a:off x="0" y="0"/>
                      <a:ext cx="5369710"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6290983, E 595308 i SWEREF 99 TM.</w:t>
      </w:r>
    </w:p>
    <w:p>
      <w:r>
        <w:t>I och inom 25 meter från avverkningsanmälan finns fynd av 6 naturvårdsarter, varav 2 är rödlistade, 2 är fridlysta, 4 är typiska (T) och 1 är signalart (S): sårläka (NT, T), älg (NT), murgröna (S, T), blåsippa (T, §9), rostticka (T) och bredarun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Rostticka</w:t>
      </w:r>
      <w:r>
        <w:t xml:space="preserve"> är typisk art för </w:t>
      </w:r>
      <w:r>
        <w:rPr>
          <w:i/>
        </w:rPr>
        <w:t xml:space="preserve">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