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1685-2024 i Borgholms kommun</w:t>
      </w:r>
    </w:p>
    <w:p>
      <w:r>
        <w:t>Denna tillsynsbegäran behandlar höga naturvärden i samrådsanmälan S 1685-2024 i Borgholms kommun som inkom 2024-05-21 och omfattar 10,8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S 1685-2024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6350194, E 618269 i SWEREF 99 TM.</w:t>
      </w:r>
    </w:p>
    <w:p>
      <w:r>
        <w:t>I och inom 25 meter från samrådsanmälan finns fynd av 28 naturvårdsarter, varav 13 är rödlistade, 5 är fridlysta, 10 är typiska (T) och 12 är signalarter (S): ask (EN), skogsalm (EN), svartoxe (EN), slöjröksvamp (VU), ädellav (VU, T), axveronika (NT), bokvedvivel (NT), Crepis tectorum subsp. tectorum (NT), dvärgbägarlav (NT, T), flentimotej (NT), knottrig rottryffel (NT), sårläka (NT, T), ängsnätfjäril (NT), dvärghäxört (S, T), gulfotsskölding (S), kragjordstjärna (S), lundvårlök (S, T), lömsk flugsvamp (S), myskmadra (S, T), nästrot (S, §8), scharlakansvårskål agg. (S), skogsknipprot (S, T, §8), stor häxört (S), svart trolldruva (S, T), vätteros (S, T), blåsippa (T, §9), fläcknycklar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Svartoxe (EN)</w:t>
      </w:r>
      <w:r>
        <w:t xml:space="preserve"> är en starkt hotad skalbagge som är bunden till lågor av grova dimensioner i täta naturskogar. Den omfattas av ett åtgärdsprogram för hotade arter (ÅGP) och är globalt rödlistad som nära notad (NT) vilket innebär att Sverige har ett internationellt ansvar för arten. Eftersom svartoxen är mycket svår att gynna via normala hänsynstaganden i skogsbruket bör istället bildande av naturreservat vara det lämpligaste instrumentet att bevara den utanför redan fredade områden. I några fall kan nyckelbiotoper fortfarande hysa arten. I så fall bör ett större område avsättas som skyddskappa runt området, och reservatsbildning övervägas (SLU Artdatabanken, 2024; IUCN, 2010; Hedin, 2010).</w:t>
      </w:r>
    </w:p>
    <w:p>
      <w:r>
        <w:rPr>
          <w:b/>
        </w:rPr>
        <w:t xml:space="preserve">Slöjröksvamp (VU) </w:t>
      </w:r>
      <w:r>
        <w:t>är en exklusiv svamp som har ett mycket högt signalvärde. Den indikerar lokalklimatiskt varma ädellövskogar och lundar på kalkrika mulljordar, där varje lokal troligen har mycket långvarig kontinuitet av ädellövträd och hassel. Samtliga växtplatser är starkt skyddsvärda och den växer alltid tillsammans med en rad andra ovanliga och rödlistade arter. Slöjröksvamp är placerad högst upp i Skogsstyrelsens värdepyramid för bedömning av skog med höga naturvärden och den omfattas av ett åtgärdsprogram för hotade arter (ÅGP) (SLU Artdatabanken, 2024; Nitare &amp; Skogsstyrelsen, 2019; Jeppson, 2006).</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 xml:space="preserve">Bokvedvivel (NT) </w:t>
      </w:r>
      <w:r>
        <w:t>är en skalbagge vars larvutveckling sker i mer eller mindre hård, död ved, ofta på insidan av stamhåligheter i gamla, levande träd. Främst i lövträd som bok, ek, alm, lönn, lind, hästkastanj och asp, i Centraleuropa även i barrträd. Ofta i allé- och parkträd, och gärna i den svagt ammoniakdoftande ved som bildas nära fågelbon i hålträd. Det största hotet mot denna och en mängd andra rödlistade arter är att träd i parker och alléer fälls och fraktas bort. Den hotas också av igenväxningen av gamla naturbetesmarker som ofta hyser lämpliga hålträd (SLU Artdatabanken, 2025).</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Knottrig rottryffel (NT) </w:t>
      </w:r>
      <w:r>
        <w:t>bildar mykorrhiza med ädellövträd, främst ek. Påträffas i varma lägen i ljusöppen ädellövskog, löväng, hagmark och park på kalkrik mark. Lokalerna bör bevaras i sitt nuvarande skick. Ädellövskog på kalkhaltig mark är en artrik miljö i vilken skogsbruk bör bedrivas med största försiktighet eller helt undvikas vilket gynnar knottrig rottryffel och flera andra hotade och sällsynta svampar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ädellav (VU, T), dvärgbägarlav (NT, T), sårläka (NT, T), dvärghäxört (S, T), lundvårlök (S, T), myskmadra (S, T), skogsknipprot (S, T, §8), svart trolldruva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