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klagomål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19 naturvårdsarter, varav 14 är rödlistade, 3 är fridlysta, 3 är typiska (T) och 4 är signalarter (S): tallkejsarspindling (EN), blåfotad fagerspindling (VU), brödmusseron (VU), fågelträcksspindling (VU), gulsträngad fagerspindling (VU), silverfotsspindling (VU), skillerticka (VU), svartgrön spindling (VU), trollspindling (VU), barrfagerspindling (NT), bittermusseron (NT), fjällig taggsvamp s.str. (NT), juvelspindling (NT), persiljespindling (NT), fransig jordstjärna (S), murgröna (S, T), purpurknipprot (S, §8),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Silverfotsspindling (VU) </w:t>
      </w:r>
      <w:r>
        <w:t>bildar mykorrhiza med ek, bok och hassel och växer i hässlen och i lövängar på kalkrik mark. Genom sin begränsade populationsstorlek är den mycket sårbar och det främsta hotet mot arten är avverkning av de värdträd som den är helt beroende av. En långsiktig tillgång till värdträd säkras genom att växtplatserna undantas från avverkning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