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14713-2020 i Borgholms kommun</w:t>
      </w:r>
    </w:p>
    <w:p>
      <w:r>
        <w:t>Detta dokument behandlar höga naturvärden i avverkningsanmälan A 14713-2020 i Borgholms kommun. Denna avverkningsanmälan inkom 2020-03-19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vresalm (CR), anisspindling (S), blå slemspindling (S), murgröna (S), skogsknipprot (S, §8), strävlosta (S), tvåblad (S, §8),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14713-2020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6346150, E 621615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Vresalm (CR</w:t>
      </w:r>
      <w:r>
        <w:t>) förekommer i Sverige endast på Öland där den växer på fuktig, tidvis våt skogsmark som ofta är näringsrik och lerig. Det ytliga rotsystemet gör att den till skillnad från andra almar tål att växa på ställen där marken tidvis är vattendränkt och således syrefattig. Skogsägare bör uppmärksammas på fynd av vresalm på sina marker så att träden inte huggs ner av misstag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