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2604-2023 i Borgholms kommun</w:t>
      </w:r>
    </w:p>
    <w:p>
      <w:r>
        <w:t>Denna tillsynsbegäran behandlar höga naturvärden i samrådsanmälan S 2604-2023 i Borgholms kommun som inkom 2023-08-08 och omfattar 5,0 ha.</w:t>
      </w:r>
    </w:p>
    <w:p>
      <w:pPr>
        <w:pStyle w:val="Caption"/>
      </w:pPr>
      <w:r>
        <w:drawing>
          <wp:inline xmlns:a="http://schemas.openxmlformats.org/drawingml/2006/main" xmlns:pic="http://schemas.openxmlformats.org/drawingml/2006/picture">
            <wp:extent cx="4144491" cy="5724000"/>
            <wp:docPr id="1" name="Picture 1"/>
            <wp:cNvGraphicFramePr>
              <a:graphicFrameLocks noChangeAspect="1"/>
            </wp:cNvGraphicFramePr>
            <a:graphic>
              <a:graphicData uri="http://schemas.openxmlformats.org/drawingml/2006/picture">
                <pic:pic>
                  <pic:nvPicPr>
                    <pic:cNvPr id="0" name="S 2604-2023 karta.png"/>
                    <pic:cNvPicPr/>
                  </pic:nvPicPr>
                  <pic:blipFill>
                    <a:blip r:embed="rId16"/>
                    <a:stretch>
                      <a:fillRect/>
                    </a:stretch>
                  </pic:blipFill>
                  <pic:spPr>
                    <a:xfrm>
                      <a:off x="0" y="0"/>
                      <a:ext cx="4144491" cy="5724000"/>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6319254, E 610077 i SWEREF 99 TM.</w:t>
      </w:r>
    </w:p>
    <w:p>
      <w:r>
        <w:t>I och inom 20 meter från samrådsanmälan finns fynd av 10 naturvårdsarter, varav 5 är rödlistade, 3 är fridlysta, 6 är typiska (T) och 3 är signalarter (S): desmeknopp (NT), hålnunneört (NT, T), sårläka (NT, T), vårärt (NT, T), ängsskära (NT), tvåblad (S, §8), underviol (S, T), vätteros (S, T), blåsippa (T, §9)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Hålnunneört (NT)</w:t>
      </w:r>
      <w:r>
        <w:t xml:space="preserve"> växer i halvskuggig, frisk, kalkhaltig och näringsrik mark i ädellövskogar men också lokalt i parker. I Skåne, där den huvudsakligen är knuten till landskapets rikaste ädellövskogar på frisk eller något fuktig mark, har undersökningar visat att arten kan ha tappat uppemot 75 % av sina lokaler under det senaste halvseklet. Arten har svårt att sprida sig till nya lokaler, varför det är viktigt att ädellövskogar med nunneört sköts på sätt som passar/gynnar arten för att den ska överleva. Alltför kraftig utglesning av träd på växtplatsen ger ökad instrålning, som ofta leder till att nunneörten försvinner. Hålnunneört är typisk art för </w:t>
      </w:r>
      <w:r>
        <w:rPr>
          <w:i/>
        </w:rPr>
        <w:t>9130 Näringsrik bokskog</w:t>
      </w:r>
      <w:r>
        <w:t xml:space="preserve"> och </w:t>
      </w:r>
      <w:r>
        <w:rPr>
          <w:i/>
        </w:rPr>
        <w:t xml:space="preserve">9180 Ädellövskog i branter </w:t>
      </w:r>
      <w:r>
        <w:t>(SLU Artdatabanken, 2024;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hålnunneört (NT, T), sårläka (NT, T), vårärt (NT, T), underviol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