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41640-2023 i Borgholms kommun</w:t>
      </w:r>
    </w:p>
    <w:p>
      <w:r>
        <w:t>Detta klagomål behandlar höga naturvärden i avverkningsanmälan A 41640-2023 i Borgholms kommun som inkom 2023-09-06 och omfattar 5,0 ha.</w:t>
      </w:r>
    </w:p>
    <w:p>
      <w:pPr>
        <w:pStyle w:val="Caption"/>
      </w:pPr>
      <w:r>
        <w:drawing>
          <wp:inline xmlns:a="http://schemas.openxmlformats.org/drawingml/2006/main" xmlns:pic="http://schemas.openxmlformats.org/drawingml/2006/picture">
            <wp:extent cx="5486400" cy="3623664"/>
            <wp:docPr id="1" name="Picture 1"/>
            <wp:cNvGraphicFramePr>
              <a:graphicFrameLocks noChangeAspect="1"/>
            </wp:cNvGraphicFramePr>
            <a:graphic>
              <a:graphicData uri="http://schemas.openxmlformats.org/drawingml/2006/picture">
                <pic:pic>
                  <pic:nvPicPr>
                    <pic:cNvPr id="0" name="A 41640-2023 karta.png"/>
                    <pic:cNvPicPr/>
                  </pic:nvPicPr>
                  <pic:blipFill>
                    <a:blip r:embed="rId16"/>
                    <a:stretch>
                      <a:fillRect/>
                    </a:stretch>
                  </pic:blipFill>
                  <pic:spPr>
                    <a:xfrm>
                      <a:off x="0" y="0"/>
                      <a:ext cx="5486400" cy="362366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6297267, E 608624 i SWEREF 99 TM.</w:t>
      </w:r>
    </w:p>
    <w:p>
      <w:r>
        <w:t>I och inom 20 meter från avverkningsanmälan finns fynd av 7 naturvårdsarter, varav 2 är rödlistade, 5 är fridlysta, 2 är typiska (T) och 2 är signalarter (S): jordtistel (NT), sårläka (NT, T), flugblomster (S, §8), tvåblad (S, §8), blåsippa (T, §9), johannesnycklar (§8)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