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21797-2024 i Borgholms kommun</w:t>
      </w:r>
    </w:p>
    <w:p>
      <w:r>
        <w:t>Denna tillsynsbegäran behandlar höga naturvärden i avverkningsanmälan A 21797-2024 i Borgholms kommun som inkom 2024-05-30 och omfattar 1,4 ha.</w:t>
      </w:r>
    </w:p>
    <w:p>
      <w:pPr>
        <w:pStyle w:val="Caption"/>
      </w:pPr>
      <w:r>
        <w:drawing>
          <wp:inline xmlns:a="http://schemas.openxmlformats.org/drawingml/2006/main" xmlns:pic="http://schemas.openxmlformats.org/drawingml/2006/picture">
            <wp:extent cx="5486400" cy="4600280"/>
            <wp:docPr id="1" name="Picture 1"/>
            <wp:cNvGraphicFramePr>
              <a:graphicFrameLocks noChangeAspect="1"/>
            </wp:cNvGraphicFramePr>
            <a:graphic>
              <a:graphicData uri="http://schemas.openxmlformats.org/drawingml/2006/picture">
                <pic:pic>
                  <pic:nvPicPr>
                    <pic:cNvPr id="0" name="A 21797-2024 karta.png"/>
                    <pic:cNvPicPr/>
                  </pic:nvPicPr>
                  <pic:blipFill>
                    <a:blip r:embed="rId16"/>
                    <a:stretch>
                      <a:fillRect/>
                    </a:stretch>
                  </pic:blipFill>
                  <pic:spPr>
                    <a:xfrm>
                      <a:off x="0" y="0"/>
                      <a:ext cx="5486400" cy="460028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6293665, E 598406 i SWEREF 99 TM.</w:t>
      </w:r>
    </w:p>
    <w:p>
      <w:r>
        <w:t>I och inom 23 meter från avverkningsanmälan finns fynd av 4 naturvårdsarter, varav 1 är rödlistad, 2 är fridlysta, 2 är typiska (T) och 2 är signalarter (S): sydlig kantmusseron (NT), murgröna (S, T), skogsknipprot (S, T,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Sydlig kantmusseron (NT) </w:t>
      </w:r>
      <w:r>
        <w:t>bildar mykorrhiza med ek och bok, troligen även med hassel och avenbok, i luckig ädellövskog, hagmark och löväng på kalkrik mark. Den totala populationen i landet är liten och en fortgående minskning på nationell nivå bedöms pågå, huvudsakligen p.g.a. upphörd hävd med igenväxning och förtätning av ädellövsmiljöer som följd. Ekhagar och lövlundar med ek bör bevaras i oförändrat skick, t.ex. genom fortsatt extensiv betesdrift (SLU Artdatabanken, 2026).</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