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63276-2023 i Borgholms kommun</w:t>
      </w:r>
    </w:p>
    <w:p>
      <w:r>
        <w:t>Denna tillsynsbegäran behandlar höga naturvärden i avverkningsanmälan A 63276-2023 i Borgholms kommun som inkom 2023-12-13 och omfattar 5,0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63276-2023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6298367, E 602999 i SWEREF 99 TM.</w:t>
      </w:r>
    </w:p>
    <w:p>
      <w:r>
        <w:t>Inom 15 meter från avverkningsanmälan finns fynd av 1 naturvårdsarter, varav 1 är rödlistad: Elaphomyces barrioi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Elaphomyces barrioi </w:t>
      </w:r>
      <w:r>
        <w:rPr>
          <w:b/>
        </w:rPr>
        <w:t>(VU)</w:t>
      </w:r>
      <w:r>
        <w:t xml:space="preserve"> är en sällsynt hjorttryffel som bildar ektomykorrhiza med ek, bok och hassel. Den förekommer i luckig ädellövskog, löväng, hagmark och ängsekskog på torr och kalkrik mark i södra Sverige. Bedöms ha liten population och fortgående minska p.g.a. att dess växtmiljöer är känsliga för såväl igenväxning och förtätning som för hård utglesning av träd- och buskskikt i samband med avverkning och restaurering av betesmark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