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2477-2025 i Borgholms kommun</w:t>
      </w:r>
    </w:p>
    <w:p>
      <w:r>
        <w:t>Denna tillsynsbegäran behandlar höga naturvärden i samrådsanmälan S 2477-2025 i Borgholms kommun som inkom 2025-09-03 och omfattar 15,1 ha.</w:t>
      </w:r>
    </w:p>
    <w:p>
      <w:pPr>
        <w:pStyle w:val="Caption"/>
      </w:pPr>
      <w:r>
        <w:drawing>
          <wp:inline xmlns:a="http://schemas.openxmlformats.org/drawingml/2006/main" xmlns:pic="http://schemas.openxmlformats.org/drawingml/2006/picture">
            <wp:extent cx="5486400" cy="5079162"/>
            <wp:docPr id="1" name="Picture 1"/>
            <wp:cNvGraphicFramePr>
              <a:graphicFrameLocks noChangeAspect="1"/>
            </wp:cNvGraphicFramePr>
            <a:graphic>
              <a:graphicData uri="http://schemas.openxmlformats.org/drawingml/2006/picture">
                <pic:pic>
                  <pic:nvPicPr>
                    <pic:cNvPr id="0" name="S 2477-2025 karta.png"/>
                    <pic:cNvPicPr/>
                  </pic:nvPicPr>
                  <pic:blipFill>
                    <a:blip r:embed="rId16"/>
                    <a:stretch>
                      <a:fillRect/>
                    </a:stretch>
                  </pic:blipFill>
                  <pic:spPr>
                    <a:xfrm>
                      <a:off x="0" y="0"/>
                      <a:ext cx="5486400" cy="5079162"/>
                    </a:xfrm>
                    <a:prstGeom prst="rect"/>
                  </pic:spPr>
                </pic:pic>
              </a:graphicData>
            </a:graphic>
          </wp:inline>
        </w:drawing>
      </w:r>
    </w:p>
    <w:p>
      <w:pPr>
        <w:pStyle w:val="Caption"/>
        <w:spacing w:after="240"/>
      </w:pPr>
      <w:r>
        <w:t>Figur 1. Fyndplatser för naturvårdsarter i och inom 5 meter från samrådsanmälan. Markörer utan svart kant är placerade på fyndplatsen. Markörer med svart kant är placerade vid sidan av fyndplatsen och har ett svart streck som visar fyndplatsens exakta position. Kartans mittpunktskoordinat är N 6289743, E 605883 i SWEREF 99 TM.</w:t>
      </w:r>
    </w:p>
    <w:p>
      <w:r>
        <w:t>I och inom 5 meter från samrådsanmälan finns fynd av 21 naturvårdsarter, varav 13 är rödlistade, 4 är fridlysta, 5 är typiska (T) och 5 är signalarter (S): ask (EN), säckjordstjärna (EN), Malthinus balteatus (VU), småvänderot (VU), askpraktbagge (NT), bredhornad praktbagge (NT), gul dropplav (NT), hasselpraktbagge (NT), Hemicoelus fulvicornis (NT), skulderfläckad gaddbagge (NT), svinrot (NT), ängsskära (NT), ängsstarr (NT), bokoxe (S, T), murgröna (S, T), tvåblad (S, §8), underviol (S, T), vätteros (S, T), blåsippa (T, §9), fläcknycklar (§8) och vanliga ängsnycklar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Askpraktbagge (NT)</w:t>
      </w:r>
      <w:r>
        <w:t xml:space="preserve"> är en skalbagge vars larvutveckling sker i solexponerad bark på grenar och klena stammar av ask. Arten är svårbestämd och lätt att förväxla med flera släktingar. Större askbestånd bör helst bevaras i sin helhet, och inte avverkas. Undvik uttag av ask som biobränsle (SLU Artdatabanken, 2026).</w:t>
      </w:r>
    </w:p>
    <w:p>
      <w:r>
        <w:rPr>
          <w:b/>
        </w:rPr>
        <w:t>Bredhornad praktbagge (NT)</w:t>
      </w:r>
      <w:r>
        <w:t xml:space="preserve"> är en skalbagge vars larvutveckling sker i solexponerad bark på nyligen döda grenar och klena stamdelar av ek. Missgynnas av att glesa lövskogar med äldre ek växer igen eller avverkas. Lokalt är arten missgynnad genom uttag av skadade ekar och nyligen nedfallna grenar. Äldre, solöppna lövskogar med gammal ek bör bevaras, och skadade ekar bör så långt möjligt lämnas kvar. Selektiv utglesning av beskuggande träd (främst gran) är önskvärd. Bibehåll hävden av trädrika betesmarker. Uttag av klen ekved som biobränsle bör undvikas med hänsyn till många ovanliga ekinsekter (SLU Artdatabanken, 2024).</w:t>
      </w:r>
    </w:p>
    <w:p>
      <w:r>
        <w:rPr>
          <w:b/>
        </w:rPr>
        <w:t xml:space="preserve">Gul dropplav (NT) </w:t>
      </w:r>
      <w:r>
        <w:t>växer praktiskt taget enbart på gamla, grova ekar i öppna till halvöppna miljöer som glesa ekhagar och lövängar. Antalet gamla grova ekar har minskat och det är viktigt att hålla öppet kring stammar och kronor på grova ekar (SLU Artdatabanken, 2024).</w:t>
      </w:r>
    </w:p>
    <w:p>
      <w:r>
        <w:rPr>
          <w:b/>
        </w:rPr>
        <w:t>Hasselpraktbagge (NT)</w:t>
      </w:r>
      <w:r>
        <w:t xml:space="preserve"> är en skalbagge vars larvutveckling sker i solexponerad bark på nyligen döda grenar och klena stamdelar av lövträd; i Sverige på hassel och avenbok. Arten missgynnas av igenväxning och avverkning som drabbar hassel. Särskilt röjning av gamla hässlen i solvarma lägen är mycket ogynnsamt. Lövskogar med hassel bör hållas öppna genom utglesning av skuggande träd, särskilt gran. Undvik alltid uttag av hassel som energived. Det är mycket värdefullt med bibehållen hävd av gamla hasselrika kulturmarker (SLU Artdatabanken, 2024).</w:t>
      </w:r>
    </w:p>
    <w:p>
      <w:r>
        <w:rPr>
          <w:b/>
          <w:i/>
        </w:rPr>
        <w:t xml:space="preserve">Hemicoelus fulvicornis </w:t>
      </w:r>
      <w:r>
        <w:rPr>
          <w:b/>
        </w:rPr>
        <w:t xml:space="preserve">(NT) </w:t>
      </w:r>
      <w:r>
        <w:t>är en skalbagge vars larvutveckling sker i hård och torr, död ved av olika lövträd, t.ex. poppel, viden, hassel, hagtorn, avenbok, lönn och lind. Främst i grenar och tunna stammar av stående, döda träd, men även i skadade stampartier på levande träd. Fullbildade skalbaggar är kvällsaktiva, och påträffas under högsommaren på angripna stamdelar. Arten påverkas negativt av brist på död ved och det föreligger indikation på eller misstanke om populationsminskning. Minskningen avser kvalitén på artens habitat (SLU Artdatabanken, 2025).</w:t>
      </w:r>
    </w:p>
    <w:p>
      <w:r>
        <w:rPr>
          <w:b/>
        </w:rPr>
        <w:t xml:space="preserve">Skulderfläckad gaddbagge (NT) </w:t>
      </w:r>
      <w:r>
        <w:t>är en tornbagge vars larvutveckling sker i vitrötad ved av lövträd, bland annat ek, al, hassel och avenbok. De fullbildade skalbaggarna påträffas i blommor. Arten påverkas negativt av brist på död ved och en minskning av populationen pågår eller förväntas ske. Minskningen avser kvalitén på artens habitat (SLU Artdatabanken, 2026).</w:t>
      </w:r>
    </w:p>
    <w:p>
      <w:r>
        <w:rPr>
          <w:b/>
        </w:rPr>
        <w:t>Bokoxe</w:t>
      </w:r>
      <w:r>
        <w:t xml:space="preserve"> är en skalbagge vars larvutveckling sker i måttligt fuktig, oftast vitrötad ved i grova stubbar och lågor av lövträd, i Norden främst bok men även ek, avenbok, alm och ask. Bokoxe är typisk art för </w:t>
      </w:r>
      <w:r>
        <w:rPr>
          <w:i/>
        </w:rPr>
        <w:t>9130 Näringsrik bokskog</w:t>
      </w:r>
      <w:r>
        <w:t xml:space="preserve"> (SLU Artdatabanken, 2025).</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bokoxe (S, T), murgröna (S, T), underviol (S, T), vätteros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