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43587-2021 i Borgholms kommun</w:t>
      </w:r>
    </w:p>
    <w:p>
      <w:r>
        <w:t>Denna tillsynsbegäran behandlar höga naturvärden i avverkningsanmälan A 43587-2021 i Borgholms kommun som inkom 2021-08-25 och omfattar 8,1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3587-2021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6304789, E 603148 i SWEREF 99 TM.</w:t>
      </w:r>
    </w:p>
    <w:p>
      <w:r>
        <w:t>I och inom 4 meter från avverkningsanmälan finns fynd av 22 naturvårdsarter, varav 8 är rödlistade, 14 är fridlysta, 3 är typiska (T) och 3 är signalarter (S): spädnarv (CR), entandad plattbagge (VU), hasselsnok (VU, §4a), igelkott (VU), Cypha apicalis (NT), svart askbastborre (NT), Trinodes hirtus (NT), tvåfärgad barksvartbagge (NT), bokoxe (S, T), ekoxe (S, §6), skogsknipprot (S, T, §8), spillkråka (T, §4), gröngöling (§4), långbensgroda (§4a), större vattensalamander (§4a), huggorm (§6), vanlig padda (§6), vanlig snok (§6), bredarun (§8), sankt pers nycklar (§8), silverviol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Entandad plattbagge (VU)</w:t>
      </w:r>
      <w:r>
        <w:t xml:space="preserve"> är en skalbagge vars larvutveckling sker under bark på döda lövträd, främst alm och ek men även bok, asp och björk. Arten hotas av bristen på bestånd med döda, grova lövträd. Spara både levande och döda gamla lövträd i Sydsverige i större utsträckning. Gynna uppkomsten av grova lövträd i de framtida kulturskogarna (SLU Artdatabanken, 2025).</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