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1001-2023 i Borgholms kommun</w:t>
      </w:r>
    </w:p>
    <w:p>
      <w:r>
        <w:t>Denna tillsynsbegäran behandlar höga naturvärden i samrådsanmälan S 1001-2023 i Borgholms kommun som inkom 2023-03-22 och omfattar 16,5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S 1001-2023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6336908, E 622069 i SWEREF 99 TM.</w:t>
      </w:r>
    </w:p>
    <w:p>
      <w:r>
        <w:t>I och inom 21 meter från samrådsanmälan finns fynd av 23 naturvårdsarter, varav 12 är rödlistade, 5 är fridlysta, 8 är typiska (T) och 8 är signalarter (S): ask (EN), skogsalm (EN), kretsfly (VU), desmeknopp (NT), ekticka (NT, T), gammelekslav (NT, T), hjälmbrosklav (NT), liten sönderfallslav (NT), matt pricklav (NT), oxtungssvamp (NT), rutskinn (NT, T), stenticka (NT), grå skärelav (S), gulpudrad spiklav (S, T), läderskål (S), murgröna (S, T), rostfjällskivling (S), skogsknipprot (S, T, §8), tvåblad (S, §8), vätteros (S, T), blåsippa (T, §9),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Stenticka (NT) </w:t>
      </w:r>
      <w:r>
        <w:t>är en sällsynt art knuten till luckig ädellövskog och trädbärande gräsmark. Fruktkropparna bildas oftast på lågor, stubbar och nerfallna grenar, någon gång på döda, avbrutna men kvarsittande grenar, men kan också påträffas på naken jord. Den hotas främst av minskande tillgång på gamla, döende lövträd och kvarliggande död ved. Områden där stenticka kan tänkas förekomma, t.ex. äldre lövskog med rikligt med död ved, bör inte utnyttjas för skogsbruk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rutskinn (NT, T), gulpudrad spiklav (S, T), murgröna (S, T), skogsknipprot (S, T, §8),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