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31558-2026 i Borgholms kommun</w:t>
      </w:r>
    </w:p>
    <w:p>
      <w:r>
        <w:t>Detta klagomål behandlar höga naturvärden i avverkningsanmälan A 31558-2026 i Borgholms kommun som inkom 2026-07-21 och omfattar 1,0 ha.</w:t>
      </w:r>
    </w:p>
    <w:p>
      <w:pPr>
        <w:pStyle w:val="Caption"/>
      </w:pPr>
      <w:r>
        <w:drawing>
          <wp:inline xmlns:a="http://schemas.openxmlformats.org/drawingml/2006/main" xmlns:pic="http://schemas.openxmlformats.org/drawingml/2006/picture">
            <wp:extent cx="5486400" cy="5279010"/>
            <wp:docPr id="1" name="Picture 1"/>
            <wp:cNvGraphicFramePr>
              <a:graphicFrameLocks noChangeAspect="1"/>
            </wp:cNvGraphicFramePr>
            <a:graphic>
              <a:graphicData uri="http://schemas.openxmlformats.org/drawingml/2006/picture">
                <pic:pic>
                  <pic:nvPicPr>
                    <pic:cNvPr id="0" name="A 31558-2026 karta.png"/>
                    <pic:cNvPicPr/>
                  </pic:nvPicPr>
                  <pic:blipFill>
                    <a:blip r:embed="rId16"/>
                    <a:stretch>
                      <a:fillRect/>
                    </a:stretch>
                  </pic:blipFill>
                  <pic:spPr>
                    <a:xfrm>
                      <a:off x="0" y="0"/>
                      <a:ext cx="5486400" cy="5279010"/>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6346026, E 621424 i SWEREF 99 TM.</w:t>
      </w:r>
    </w:p>
    <w:p>
      <w:r>
        <w:t>I och inom 13 meter från avverkningsanmälan finns fynd av 6 naturvårdsarter, varav 3 är rödlistade, 2 är fridlysta, 4 är typiska (T) och 2 är signalarter (S): blå slemspindling (NT, T), sårläka (NT, T), vårärt (NT, T), anisspindling (S), skogsknipprot (S, T, §8) och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 slemspindling (NT)</w:t>
      </w:r>
      <w:r>
        <w:t xml:space="preserve"> är en mykorrhizasvamp som förekommer i kalkgranskogar med välutvecklade mossmattor och ett örtrikt fältskikt. Den växer även på rik mark i ädellövskog under bok, ek. lind och hassel. Växtplatserna har ofta hög luftfuktighet och ligger gärna i anslutning till en bäck eller ett fuktdråg där marken inte blir helt uttorkad under sommaren. Arten signalerar höga naturvärden och växer ofta tillsammans med många andra ovanliga och rödlistade arter. Den totala populationen i landet bedöms ha minskat och väntas fortsätta minska, främst till följd av avverkning av kalkbarrskogar. Blå slemspindling är typisk art för </w:t>
      </w:r>
      <w:r>
        <w:rPr>
          <w:i/>
        </w:rPr>
        <w:t xml:space="preserve">9050 Näringsrik granskog </w:t>
      </w:r>
      <w:r>
        <w:t>(SLU Artdatabanken, 2026; Nitare &amp; Skogsstyrelsen, 2019).</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Skogsknipprot (§8)</w:t>
      </w:r>
      <w:r>
        <w:t xml:space="preserve"> är fridlyst enligt 8§ artskyddsförordningen och typisk art för </w:t>
      </w:r>
      <w:r>
        <w:rPr>
          <w:i/>
        </w:rPr>
        <w:t>9050 Näringsrik granskog</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