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1726-2026 i Borgholms kommun</w:t>
      </w:r>
    </w:p>
    <w:p>
      <w:r>
        <w:t>Detta klagomål behandlar höga naturvärden i samrådsanmälan S 1726-2026 i Borgholms kommun som inkom 2026-06-15 och omfattar 2,0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S 1726-2026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6344063, E 619132 i SWEREF 99 TM.</w:t>
      </w:r>
    </w:p>
    <w:p>
      <w:r>
        <w:t>I och inom 21 meter från samrådsanmälan finns fynd av 3 naturvårdsarter, varav 2 är rödlistade, 1 är fridlyst, 1 är typisk (T) och 1 är signalart (S): ask (EN), mindre poppelglasvinge (NT)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Mindre poppelglasvinge (NT) </w:t>
      </w:r>
      <w:r>
        <w:t>är en fjäril som med sin mimikry liknar en solitärgeting. Den lever på senvuxen asp där larven utnyttjar läkningsytan runt döda grenar på aspar i naturligt soliga lägen. Angreppen är så typiska att en förekomst kan säkerställas genom dessa. Arten är mycket krävande vad gäller substratet, som bara kan utnyttjas en gång av en larvindivid. Arten påverkas negativt av brist på grova eller gamla träd och en minskning av populationen pågår eller förväntas ske. Minskningen avser kvalitén på artens habitat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