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34948-2022 i Borgholms kommun</w:t>
      </w:r>
    </w:p>
    <w:p>
      <w:r>
        <w:t>Denna tillsynsbegäran behandlar höga naturvärden i avverkningsanmälan A 34948-2022 i Borgholms kommun som inkom 2022-08-23 och omfattar 2,8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6346092, E 620059 i SWEREF 99 TM.</w:t>
      </w:r>
    </w:p>
    <w:p>
      <w:r>
        <w:t>I och inom 21 meter från avverkningsanmälan finns fynd av 13 naturvårdsarter, varav 8 är rödlistade, 3 är fridlysta, 3 är typiska (T) och 4 är signalarter (S): blåfotad fagerspindling (VU), brödmusseron (VU), gulsträngad fagerspindling (VU), skillerticka (VU), svartgrön spindling (VU), bittermusseron (NT), juvelspindling (NT), persiljespindling (NT), fransig jordstjärna (S), murgröna (S, T), purpurknipprot (S, §8),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Brödmusseron (VU) </w:t>
      </w:r>
      <w:r>
        <w:t>är en mycket sällsynt art som påträffas i ädellövskog, främst under äldre ekar. Skogsbruk som innebär att miljön på växtplatserna förstörs eller förändras innebär troligen att arten försvinner. Samtliga kända växtplatserna måste säkerställas om förhållandena är intakta och förutsättningar för ett långsiktigt bevarande är goda. Arten är placerad högst upp i Skogsstyrelsens värdepyramid för bedömning av skog med höga naturvärden (SLU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