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32640-2022 i Borgholms kommun</w:t>
      </w:r>
    </w:p>
    <w:p>
      <w:r>
        <w:t>Detta dokument behandlar höga naturvärden i avverkningsanmälan A 32640-2022 i Borgholms kommun. Denna avverkningsanmälan inkom 2022-08-10 00:00:00 och omfattar 1,2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kornknutmossa (S), murgröna (S) och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18022"/>
            <wp:docPr id="1" name="Picture 1"/>
            <wp:cNvGraphicFramePr>
              <a:graphicFrameLocks noChangeAspect="1"/>
            </wp:cNvGraphicFramePr>
            <a:graphic>
              <a:graphicData uri="http://schemas.openxmlformats.org/drawingml/2006/picture">
                <pic:pic>
                  <pic:nvPicPr>
                    <pic:cNvPr id="0" name="A 32640-2022 karta.png"/>
                    <pic:cNvPicPr/>
                  </pic:nvPicPr>
                  <pic:blipFill>
                    <a:blip r:embed="rId16"/>
                    <a:stretch>
                      <a:fillRect/>
                    </a:stretch>
                  </pic:blipFill>
                  <pic:spPr>
                    <a:xfrm>
                      <a:off x="0" y="0"/>
                      <a:ext cx="5486400" cy="35180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6346824, E 619952 i SWEREF 99 TM.</w:t>
      </w:r>
    </w:p>
    <w:p>
      <w:r>
        <w:rPr>
          <w:b/>
        </w:rPr>
        <w:t>Kornknutmossa</w:t>
      </w:r>
      <w:r>
        <w:t xml:space="preserve"> växer främst på grova lågor i sumpskog och myrkanter och indikerar miljöer med rik och jämn tillgång på fuktigt liggande ved. En typisk växtplats i södra Sverige är naturskogsartad gransumpskog. Samtliga skogsskötselåtgärder på eller i omedelbar närhet av lokalerna utgör ett hot. Fragmenteringen av skogslandskapet liksom minskad mängd död ved är ett långsiktigt hot mot denna art (SLU Artdatabanken, 2024; Nitare &amp; Skogsstyrelsen, 2019).</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