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34948-2022 i Borgholms kommun</w:t>
      </w:r>
    </w:p>
    <w:p>
      <w:r>
        <w:t>Detta dokument behandlar höga naturvärden i avverkningsanmälan A 34948-2022 i Borgholms kommun. Denna avverkningsanmälan inkom 2022-08-23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brödmusseron (EN), juvelspindling (NT), persiljespindling (NT), fransig jordstjärna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34948-2022 karta.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6346092, E 620059 i SWEREF 99 TM.</w:t>
      </w:r>
    </w:p>
    <w:p>
      <w:r>
        <w:rPr>
          <w:b/>
        </w:rPr>
        <w:t xml:space="preserve">Brödmusseron (EN) </w:t>
      </w:r>
      <w:r>
        <w:t>är en mycket sällsynt och starkt hotad art som påträffas i ädellövskog, främst under äldre ekar. Skogsbruk som innebär att miljön på växtplatserna förstörs eller förändras innebär troligen att arten försvinner. Samtliga kända växtplatserna måste säkerställas om förhållandena är intakta och förutsättningar för ett långsiktigt bevarande är goda. Arten är placerad högst upp i Skogsstyrelsens värdepyramid för bedömning av skog med höga naturvärden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