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avverkningsanmälan A 23370-2021 i Borgholms kommun. Denna avverkningsanmälan inkom 2021-05-20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 karta.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Följande fridlysta arter har sina livsmiljöer och växtplatser i den avverkningsanmälda skogen: bredarun (NT, §8), skogsknipprot (S, §8), Dactylorhiza incarnata subsp. incarnata (§8), grönvit nattviol (§8) och 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