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26160-2024 i Borgholms kommun</w:t>
      </w:r>
    </w:p>
    <w:p>
      <w:r>
        <w:t>Detta dokument behandlar höga naturvärden i avverkningsanmälan A 26160-2024 i Borgholms kommun. Denna avverkningsanmälan inkom 2024-06-25 00:00:00 och omfattar 13,5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16 naturvårdsarter hittats: backklöver (NT), bredarun (NT, §8), korskovall (NT), mindre ekbock (NT), solvända (NT), ängsskära (NT), ängsstarr (NT), flugblomster (S, §8), tvåblad (S, §8), kalkkrassing (§7), brudsporre (§8), fläcknycklar (§8), grönvit nattviol (§8), johannesnycklar (§8), ängsnycklar (§8) och gullviva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3643"/>
            <wp:docPr id="1" name="Picture 1"/>
            <wp:cNvGraphicFramePr>
              <a:graphicFrameLocks noChangeAspect="1"/>
            </wp:cNvGraphicFramePr>
            <a:graphic>
              <a:graphicData uri="http://schemas.openxmlformats.org/drawingml/2006/picture">
                <pic:pic>
                  <pic:nvPicPr>
                    <pic:cNvPr id="0" name="A 26160-2024 karta.png"/>
                    <pic:cNvPicPr/>
                  </pic:nvPicPr>
                  <pic:blipFill>
                    <a:blip r:embed="rId16"/>
                    <a:stretch>
                      <a:fillRect/>
                    </a:stretch>
                  </pic:blipFill>
                  <pic:spPr>
                    <a:xfrm>
                      <a:off x="0" y="0"/>
                      <a:ext cx="5486400" cy="50436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6292451, E 600671 i SWEREF 99 TM.</w:t>
      </w:r>
    </w:p>
    <w:p>
      <w:r>
        <w:rPr>
          <w:b/>
        </w:rPr>
        <w:t>Mindre ekbock (NT)</w:t>
      </w:r>
      <w:r>
        <w:t xml:space="preserve"> är en skalbagge vars larvutveckling sker i nyligen döda grenar och klena stammar av olika lövträd, i Sverige främst ek och hassel men även bok, avenbok, björk, hägg, alm och apel. Arten gynnas av att glesa, lövrika blandskogar med ek och hassel bibehålls öppna och inte växer igen med gran. Främsta hotet är brist på lämplig ved till följd av avverkning av lövskog och uttag av biobränsle. Lövrika biotoper med gammal ek och hassel bör bevaras, och inte avverkas. Mindre ekbock ingår i ett åtgärdsprogram för hotade arter (ÅGP) (SLU Artdatabanken, 2024; Franc, 2013).</w:t>
      </w:r>
    </w:p>
    <w:p>
      <w:pPr>
        <w:pStyle w:val="Heading1"/>
      </w:pPr>
      <w:r>
        <w:t>Fridlysta arter</w:t>
      </w:r>
    </w:p>
    <w:p>
      <w:r>
        <w:t>Följande fridlysta arter har sina livsmiljöer och växtplatser i den avverkningsanmälda skogen: bredarun (NT, §8), flugblomster (S, §8), tvåblad (S, §8), kalkkrassing (§7), brudsporre (§8), fläcknycklar (§8), grönvit nattviol (§8), johannesnycklar (§8), ängsnycklar (§8) och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