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avverkningsanmälan A 4881-2021 i Borgholms kommun. Denna avverkningsanmälan inkom 2021-01-29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 xml:space="preserve">Olivfjällskivling (VU) </w:t>
      </w:r>
      <w:r>
        <w:t>lever som förnanedbrytare på marken i torra hässlen, i mosaikmarker och i blandlövskog med ek, alm, ask, björk, gran, tall och en. Den föredrar en luftig, mullrik jord med högt pH, gärna i nötbetade marker samt på torrängar. En upphörd betesdrift, med åtföljande igenväxning från öppna och halvöppna miljöer till helt slutna kommer att missgynna arten. Även skogliga åtgärder som slutavverkning och markberedning innebär konkreta hot mot artens fortlevnad. En långsiktig tillgång till värdträd säkras genom att växtplatserna undantas från trakthyggesbruk. De extensivt betade mosaikmiljöerna hålls i fortsatt hävd, kompletterat med naturvårdsinriktade skogliga åtgärder i syfte att upprätthålla en viss luckighet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