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4881-2021 i Borgholms kommun</w:t>
      </w:r>
    </w:p>
    <w:p>
      <w:r>
        <w:t>Detta dokument behandlar höga naturvärden i avverkningsanmälan A 4881-2021 i Borgholms kommun. Denna avverkningsanmälan inkom 2021-01-29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olivfjällskivling (VU), droppklibbskivling (S), murgröna (S), skogsknipprot (S,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8401"/>
            <wp:docPr id="1" name="Picture 1"/>
            <wp:cNvGraphicFramePr>
              <a:graphicFrameLocks noChangeAspect="1"/>
            </wp:cNvGraphicFramePr>
            <a:graphic>
              <a:graphicData uri="http://schemas.openxmlformats.org/drawingml/2006/picture">
                <pic:pic>
                  <pic:nvPicPr>
                    <pic:cNvPr id="0" name="A 4881-2021 karta.png"/>
                    <pic:cNvPicPr/>
                  </pic:nvPicPr>
                  <pic:blipFill>
                    <a:blip r:embed="rId16"/>
                    <a:stretch>
                      <a:fillRect/>
                    </a:stretch>
                  </pic:blipFill>
                  <pic:spPr>
                    <a:xfrm>
                      <a:off x="0" y="0"/>
                      <a:ext cx="5486400" cy="4188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6298175, E 603303 i SWEREF 99 TM.</w:t>
      </w:r>
    </w:p>
    <w:p>
      <w:r>
        <w:rPr>
          <w:b/>
        </w:rPr>
        <w:t>Droppklibbskivling</w:t>
      </w:r>
      <w:r>
        <w:t xml:space="preserve"> signalerar örtrika kalkbarrskogar med höga naturvärden. Svampen är mycket kräsen i sina ståndortskrav och den utgör en bra signalart även när den förekommer i olika lövskogsmiljöer. På artens växtplatser påträffas normalt många andra sällsynta eller rödlistade arter (Nitare &amp; Skogsstyrelsen, 2019).</w:t>
      </w:r>
    </w:p>
    <w:p>
      <w:r>
        <w:rPr>
          <w:b/>
        </w:rPr>
        <w:t xml:space="preserve">Olivfjällskivling (VU) </w:t>
      </w:r>
      <w:r>
        <w:t>lever som förnanedbrytare på marken i torra hässlen, i mosaikmarker och i blandlövskog med ek, alm, ask, björk, gran, tall och en. Den föredrar en luftig, mullrik jord med högt pH, gärna i nötbetade marker samt på torrängar. En upphörd betesdrift, med åtföljande igenväxning från öppna och halvöppna miljöer till helt slutna kommer att missgynna arten. Även skogliga åtgärder som slutavverkning och markberedning innebär konkreta hot mot artens fortlevnad. En långsiktig tillgång till värdträd säkras genom att växtplatserna undantas från trakthyggesbruk. De extensivt betade mosaikmiljöerna hålls i fortsatt hävd, kompletterat med naturvårdsinriktade skogliga åtgärder i syfte att upprätthålla en viss luckighet (SLU Artdatabanken, 2024).</w:t>
      </w:r>
    </w:p>
    <w:p>
      <w:pPr>
        <w:pStyle w:val="Heading1"/>
      </w:pPr>
      <w:r>
        <w:t>Fridlysta arter</w:t>
      </w:r>
    </w:p>
    <w:p>
      <w:r>
        <w:t>Följande fridlysta arter har sina livsmiljöer och växtplatser i den avverkningsanmälda skogen: skogsknipprot (S,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