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4158-2024 i Borgholms kommun</w:t>
      </w:r>
    </w:p>
    <w:p>
      <w:r>
        <w:t>Detta dokument behandlar höga naturvärden i avverkningsanmälan A 4158-2024 i Borgholms kommun. Denna avverkningsanmälan inkom 2024-02-01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gulsparv (NT, §4), kråka (NT, §4), rödvingetrast (NT, §4), svartvit flugsnappare (NT, §4), grönpyrola (S), nästrot (S, §8), skogsknipprot (S, §8)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4158-2024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6285219, E 599999 i SWEREF 99 TM.</w:t>
      </w:r>
    </w:p>
    <w:p>
      <w:pPr>
        <w:pStyle w:val="Heading1"/>
      </w:pPr>
      <w:r>
        <w:t>Fridlysta arter</w:t>
      </w:r>
    </w:p>
    <w:p>
      <w:r>
        <w:t>Följande fridlysta arter har sina livsmiljöer och växtplatser i den avverkningsanmälda skogen: gulsparv (NT, §4), kråka (NT, §4), rödvingetrast (NT, §4), svartvit flugsnappare (NT, §4), nästrot (S, §8), skogsknipprot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