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26160-2024 i Borgholms kommun</w:t>
      </w:r>
    </w:p>
    <w:p>
      <w:r>
        <w:t>Detta dokument behandlar höga naturvärden i avverkningsanmälan A 26160-2024 i Borgholms kommun. Denna avverkningsanmälan inkom 2024-06-25 och omfattar 13,9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backklöver (NT), bredarun (NT, §8), korskovall (NT), mindre ekbock (NT), solvända (NT), ängsskära (NT), ängsstarr (NT), flugblomster (S, §8), tvåblad (S, §8), kalkkrassing (§7), brudsporre (§8), fläcknycklar (§8), grönvit nattviol (§8), johannesnycklar (§8), ängsnycklar (§8) och gullviva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26160-2024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6292451, E 600671 i SWEREF 99 TM.</w:t>
      </w:r>
    </w:p>
    <w:p>
      <w:pPr>
        <w:pStyle w:val="Heading1"/>
      </w:pPr>
      <w:r>
        <w:t>Fridlysta arter</w:t>
      </w:r>
    </w:p>
    <w:p>
      <w:r>
        <w:t>Följande fridlysta arter har sina livsmiljöer och växtplatser i den avverkningsanmälda skogen: bredarun (NT, §8), flugblomster (S, §8), tvåblad (S, §8), kalkkrassing (§7), brudsporre (§8), fläcknycklar (§8), grönvit nattviol (§8), johannesnycklar (§8), ängsnycklar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