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1272-2023 i Borgholms kommun</w:t>
      </w:r>
    </w:p>
    <w:p>
      <w:r>
        <w:t>Denna tillsynsbegäran behandlar höga naturvärden i samrådsanmälan S 1272-2023 i Borgholms kommun som inkom 2023-04-13 och omfattar 17,7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S 1272-2023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6290465, E 601376 i SWEREF 99 TM.</w:t>
      </w:r>
    </w:p>
    <w:p>
      <w:r>
        <w:t>I och inom 25 meter från samrådsanmälan finns fynd av 50 naturvårdsarter, varav 28 är rödlistade, 18 är fridlysta, 14 är typiska (T) och 13 är signalarter (S): ask (EN), lundalm (EN), skogsalm (EN), filtekspindling (VU), frostspindling (VU), grönkantad spindling (VU), sommarklynne (VU), väddnätfjäril (VU, §6), enkelbeckasin (NT, §4), entita (NT, T, §4), grönsångare (NT, §4), gulprickig vaxskivling (NT), klasefibbla (NT), korskovall (NT), mindre hackspett (NT, T, §4), riddarsporre (NT), rödvingetrast (NT, §4), skugglosta (NT), skulderfläckad gaddbagge (NT), slottsspindling (NT), solvända (NT), svartvingad svampbagge (NT), svinrot (NT), sågtandad mycelbagge (NT), vippärt (NT, T), vårärt (NT, T), ängsskära (NT), åkerranunkel (NT), blåmossa (S, T), ekoxe (S, §6), grov baronmossa (S, T), guldlockmossa (S, T), murgröna (S, T), noshornsoxe (S), nästrot (S, §8), platt fjädermossa (S, T), skogsknipprot (S, T, §8), tibast (S, T), traslav (S), underviol (S, T), vätteros (S, T), blåsippa (T, §9), halsbandsflugsnappare (§4), kungsfågel (§4), långbensgroda (§4a), brudsporre (§8), johannesnycklar (§8), kärrknipprot (§8), sankt pers 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Filtekspindling (VU) </w:t>
      </w:r>
      <w:r>
        <w:t>är en mycket sällsynt svamp som</w:t>
      </w:r>
      <w:r>
        <w:rPr>
          <w:b/>
        </w:rPr>
        <w:t xml:space="preserve"> </w:t>
      </w:r>
      <w:r>
        <w:t>bildar mykorrhiza med ek i luckig ädellövskog på kalkrik mark i varma klimatlägen. Arten har en extremt liten population vilket gör den extra känslig. Det främsta direkta hotet mot arten är att de värdträd som den är beroende av avverkas eller dör av annan anledning. Artens samtliga kända lokaler bör få ett skydd som är väl anpassat till dess behov av ädellövskogar med ekinslag i halvöppna landskapsmosaiker. Filtekspindling är placerad högst upp i Skogsstyrelsens värdepyramid för bedömning av skog med höga naturvärden (SLU Artdatabanken, 2024; Nitare &amp; Skogsstyrelsen, 2019).</w:t>
      </w:r>
    </w:p>
    <w:p>
      <w:r>
        <w:rPr>
          <w:b/>
        </w:rPr>
        <w:t xml:space="preserve">Frostspindling (VU) </w:t>
      </w:r>
      <w:r>
        <w:t>bildar mykorrhiza med främst hassel, ek, avenbok, lind och bok. Växer i gles ädellövskog, hässlen, löväng och hagmark på kalkrik mark på exklusiva lokaler i södra och mellersta Sveriges kalktrakter. Det främsta hotet mot arten är avverkning av de värdträd som den är helt beroende av. De få kända lokalerna bör ges ett juridiskt skydd (SLU Artdatabanken, 2026).</w:t>
      </w:r>
    </w:p>
    <w:p>
      <w:r>
        <w:rPr>
          <w:b/>
        </w:rPr>
        <w:t xml:space="preserve">Grönkantad spindling (VU) </w:t>
      </w:r>
      <w:r>
        <w:t>är en mycket sällsynt svamp som bildar mykorrhiza med ek, ibland troligen också hassel, avenbok och lind i ädellövskog, ädellövsbryn och löväng på kalkrik mark. Förändring av miljön på växtplatserna genom avverkning av ekar, ändrad markanvändning, minskad hävd etc. kan hota arten. Artens förekomst och ekologi i Sverige är dåligt dokumenterad och behöver utredas bättre. Tills dess måste alla kända lokaler skyddas på något sätt. Arten är placerad högst upp i Skogsstyrelsens värdepyramid för bedömning av skog med höga naturvärden (SLU Artdatabanken, 2026;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Gulprickig vaxskivling (NT) </w:t>
      </w:r>
      <w:r>
        <w:t>bildar mykorrhiza med bl.a. ek, bok, lind och gran och växer på kalkrik fuktig mark i ädellövskog, hässlen med ek och norrut i ängsgranskog. Arten är placerad högst upp i Skogsstyrelsens värdepyramid för bedömning av skog med höga naturvärden och på lokalerna hittas som regel många andra sällsynta svampar.  Fyndplatser med stora bestånd och lokaler i ängsgranskog bör säkerställas och undantas från skogsbruk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 xml:space="preserve">Skulderfläckad gaddbagge (NT) </w:t>
      </w:r>
      <w:r>
        <w:t>är en tornbagge vars larvutveckling sker i vitrötad ved av lövträd, bland annat ek, al, hassel och avenbok. De fullbildade skalbaggarna påträffas i blommor. Arten påverkas negativt av brist på död ved och en minskning av populationen pågår eller förväntas ske. Minskningen avser kvalitén på artens habitat (SLU Artdatabanken, 2026).</w:t>
      </w:r>
    </w:p>
    <w:p>
      <w:r>
        <w:rPr>
          <w:b/>
        </w:rPr>
        <w:t>Slottsspindling (NT)</w:t>
      </w:r>
      <w:r>
        <w:t xml:space="preserve"> bildar mykorrhiza med ek, bok och hassel i ädellövskog, bokskog och hässlen på torr och kalkrik mark. Kalavverkning, kraftig gallring eller andra förändringar av miljön på växtplatserna utgör det främsta hoten. För växtplatser som idag saknar skydd bör ett sådant övervägas. För att generellt sett gynna arten bör ädellövskog på kalkrik mark brukas försiktigt eftersom biotopen är ovanlig och hemvist för ett stort antal hotade arter (SLU Artdatabanken, 2024).</w:t>
      </w:r>
    </w:p>
    <w:p>
      <w:r>
        <w:rPr>
          <w:b/>
        </w:rPr>
        <w:t xml:space="preserve">Svartvingad svampbagge (NT) </w:t>
      </w:r>
      <w:r>
        <w:t>är en skalbagge vars larvutveckling sker i mycelhaltig ved i grova, fristående döda träd eller högstubbar, främst av björk och asp men också av bok, ek och andra lövträd, ibland även barrträd. Veden är ofta angripen av vedsvampar såsom fnöskticka eller björkticka. Minskningstakten har uppgått till 15 (5–20) % under de senaste 10 åren och minskningstakten för den svenska populationen bedöms vara nära gränsvärdet för Sårbar (VU) (SLU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entita (NT, T, §4), mindre hackspett (NT, T, §4), vippärt (NT, T), vårärt (NT, T), blåmossa (S, T), grov baronmossa (S, T), guldlockmossa (S, T), murgröna (S, T), platt fjädermossa (S, T), skogsknipprot (S, T, §8), tibast (S, T), underviol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