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samrådsanmälan S 1650-2022 i Borgholms kommun</w:t>
      </w:r>
    </w:p>
    <w:p>
      <w:r>
        <w:t>Denna tillsynsbegäran behandlar höga naturvärden i samrådsanmälan S 1650-2022 i Borgholms kommun som inkom 2022-03-29 och omfattar 0,1 ha.</w:t>
      </w:r>
    </w:p>
    <w:p>
      <w:pPr>
        <w:pStyle w:val="Caption"/>
      </w:pPr>
      <w:r>
        <w:drawing>
          <wp:inline xmlns:a="http://schemas.openxmlformats.org/drawingml/2006/main" xmlns:pic="http://schemas.openxmlformats.org/drawingml/2006/picture">
            <wp:extent cx="5326780" cy="5724000"/>
            <wp:docPr id="1" name="Picture 1"/>
            <wp:cNvGraphicFramePr>
              <a:graphicFrameLocks noChangeAspect="1"/>
            </wp:cNvGraphicFramePr>
            <a:graphic>
              <a:graphicData uri="http://schemas.openxmlformats.org/drawingml/2006/picture">
                <pic:pic>
                  <pic:nvPicPr>
                    <pic:cNvPr id="0" name="S 1650-2022 karta.png"/>
                    <pic:cNvPicPr/>
                  </pic:nvPicPr>
                  <pic:blipFill>
                    <a:blip r:embed="rId16"/>
                    <a:stretch>
                      <a:fillRect/>
                    </a:stretch>
                  </pic:blipFill>
                  <pic:spPr>
                    <a:xfrm>
                      <a:off x="0" y="0"/>
                      <a:ext cx="5326780" cy="5724000"/>
                    </a:xfrm>
                    <a:prstGeom prst="rect"/>
                  </pic:spPr>
                </pic:pic>
              </a:graphicData>
            </a:graphic>
          </wp:inline>
        </w:drawing>
      </w:r>
    </w:p>
    <w:p>
      <w:pPr>
        <w:pStyle w:val="Caption"/>
        <w:spacing w:after="240"/>
      </w:pPr>
      <w:r>
        <w:t>Figur 1. Fyndplatser för naturvårdsarter i samrådsanmälan. Markörer utan svart kant är placerade på fyndplatsen. Markörer med svart kant är placerade vid sidan av fyndplatsen och har ett svart streck som visar fyndplatsens exakta position. Kartans mittpunktskoordinat är N 6352385, E 619662 i SWEREF 99 TM.</w:t>
      </w:r>
    </w:p>
    <w:p>
      <w:r>
        <w:t>I samrådsanmälan finns fynd av 2 naturvårdsarter, varav 2 är typiska (T) och 2 är signalarter (S): guldlockmossa (S, T) och gulpudrad spiklav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samrådsanmälan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p>
      <w:r>
        <w:rPr>
          <w:b/>
        </w:rPr>
        <w:t>Guldlockmossa</w:t>
      </w:r>
      <w:r>
        <w:t xml:space="preserve"> växer på solexponerade, basiska klippor och block samt på skrovlig bark vid basen av ädellövträd med rik bark, ofta på gamla ekar, bokar och andra ädellövträd som står öppet i bryn. Särskilt högt signalvärde har den i norra Sverige där den sällsynt kan påträffas i sydväxtberg på klippor med basiska bergarter. Guldlockmossa är typisk art för </w:t>
      </w:r>
      <w:r>
        <w:rPr>
          <w:i/>
        </w:rPr>
        <w:t xml:space="preserve">9110 Näringsfattig bokskog, 9160 Näringsrik ekskog, 9180 Ädellövskog i branter </w:t>
      </w:r>
      <w:r>
        <w:t xml:space="preserve">och </w:t>
      </w:r>
      <w:r>
        <w:rPr>
          <w:i/>
        </w:rPr>
        <w:t xml:space="preserve">9190 Näringsfattig ekskog </w:t>
      </w:r>
      <w:r>
        <w:t>(Nitare &amp; Skogsstyrelsen, 2019; SLU Artdatabanken, 2025).</w:t>
      </w:r>
    </w:p>
    <w:p>
      <w:r>
        <w:rPr>
          <w:b/>
        </w:rPr>
        <w:t>Gulpudrad spiklav</w:t>
      </w:r>
      <w:r>
        <w:t xml:space="preserve"> är en av de viktigaste karaktärsarterna för gamla grova ekar. Den har högt signalvärde och visar på jätteekar som ofta har en rik flora av andra sällsynta lavar. Förekomster på andra substrat än ek visar också på skyddsvärda trädbestånd. Gulpudrad spiklav är typisk art för </w:t>
      </w:r>
      <w:r>
        <w:rPr>
          <w:i/>
        </w:rPr>
        <w:t>9070 Trädklädd betesmark</w:t>
      </w:r>
      <w:r>
        <w:t xml:space="preserve"> och </w:t>
      </w:r>
      <w:r>
        <w:rPr>
          <w:i/>
        </w:rPr>
        <w:t>9160 Näringsrik ekskog</w:t>
      </w:r>
      <w:r>
        <w:t xml:space="preserve"> (Nitare &amp; Skogsstyrelsen, 2019;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