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47471-2025 i Borgholms kommun</w:t>
      </w:r>
    </w:p>
    <w:p>
      <w:r>
        <w:t>Detta dokument behandlar höga naturvärden i avverkningsanmälan A 47471-2025 i Borgholms kommun. Denna avverkningsanmälan inkom 2025-09-30 16:10:26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ask (EN), kvistkrabbspindel (EN), plattnosad rovfluga (EN), vit skogslilja (S, §8) och salepsrot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47471-2025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6344560, E 619246 i SWEREF 99 TM.</w:t>
      </w:r>
    </w:p>
    <w:p>
      <w:pPr>
        <w:pStyle w:val="Heading1"/>
      </w:pPr>
      <w:r>
        <w:t>Fridlysta arter</w:t>
      </w:r>
    </w:p>
    <w:p>
      <w:r>
        <w:t>Följande fridlysta arter har sina livsmiljöer och växtplatser i den avverkningsanmälda skogen: vit skogslilja (S, §8) och salepsrot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