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7016-2022 i Borgholms kommun</w:t>
      </w:r>
    </w:p>
    <w:p>
      <w:r>
        <w:t>Detta klagomål behandlar höga naturvärden i samrådsanmälan S 7016-2022 i Borgholms kommun som inkom 2022-12-08 och omfattar 9,7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7016-2022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6294347, E 599079 i SWEREF 99 TM.</w:t>
      </w:r>
    </w:p>
    <w:p>
      <w:r>
        <w:t>I och inom 25 meter från samrådsanmälan finns fynd av 22 naturvårdsarter, varav 14 är rödlistade, 4 är fridlysta, 5 är typiska (T) och 4 är signalarter (S): vresalm (CR), ekfingersvamp (EN), gulgrön spindling (EN), lundalm (EN), skogsalm (EN), ekgräddvaxskivling (VU), gyllensopp (VU), sommarsopp (VU), desmeknopp (NT), kremlevaxskivling (NT), mindre ekbock (NT), molnfläcksbock (NT), oxtungssvamp (NT), vårärt (NT, T), bolmörtsskivling (S), grov baronmossa (S, T), strävlosta (S, T), vätteros (S, T), blåsippa (T, §9), skogsduva (§4),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Ekfingersvamp (EN) </w:t>
      </w:r>
      <w:r>
        <w:t>är en mycket sällsynt och starkt hotad art knuten till ek på kalkrik mark. Samtliga växtplatser utgörs av exklusiva och skyddsvärda lövskogsmiljöer med ek. Främsta hotet utgörs av avverkning av artens värdträd eller exploatering av växtplatserna. Samtliga växtplatser där ekfingersvamp finns bör få särskild uppmärksamhet inom naturvården och all körning med tunga maskiner undvikas. Arten är placerad högst upp i Skogsstyrelsens värdepyramid för bedömning av skog med höga naturvärden (SLU Artdatabanken, 2024; Nitare &amp; Skogsstyrelsen, 2019).</w:t>
      </w:r>
    </w:p>
    <w:p>
      <w:r>
        <w:rPr>
          <w:b/>
        </w:rPr>
        <w:t xml:space="preserve">Gulgrön spindling (EN) </w:t>
      </w:r>
      <w:r>
        <w:t>är en mycket sällsynt och starkt hotad svamp som bildar mykorrhiza med ek i luckig ädellövskog på kalkrik mark. I Sverige är den gulgröna spindlingen knuten till synnerligen exklusiva lokaler och den är placerad högst upp i Skogsstyrelsens värdepyramid för bedömning av skog med höga naturvärden. Det främsta hotet mot arten är avverkning av de värdträd som den är helt beroende av. Skydda ädellövskogen och sörj för dess kontinuitet. En långsiktig tillgång till värdträd säkras genom att växtplatserna undantas från trakthyggesbruk (SLU Artdatabanken, 2024; Nitare &amp; Skogsstyrelsen, 2019).</w:t>
      </w:r>
    </w:p>
    <w:p>
      <w:r>
        <w:rPr>
          <w:b/>
        </w:rPr>
        <w:t xml:space="preserve">Ekgräddvaxskivling (VU) </w:t>
      </w:r>
      <w:r>
        <w:t>är en mycket sällsynt art som är knuten till ek på tunna, varma och starkt kalkhaltiga jordar. Arten är placerad högst upp i Skogsstyrelsens värdepyramid för bedömning av skog med höga naturvärden och på lokalerna har ek mycket långvarig kontinuitet (SLU Artdatabanken, 2024; Nitare &amp; Skogsstyrelsen, 2019).</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