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2786-2023 i Borgholms kommun</w:t>
      </w:r>
    </w:p>
    <w:p>
      <w:r>
        <w:t>Denna tillsynsbegäran behandlar höga naturvärden i samrådsanmälan S 2786-2023 i Borgholms kommun som inkom 2023-08-23 och omfattar 6,2 ha.</w:t>
      </w:r>
    </w:p>
    <w:p>
      <w:pPr>
        <w:pStyle w:val="Caption"/>
      </w:pPr>
      <w:r>
        <w:drawing>
          <wp:inline xmlns:a="http://schemas.openxmlformats.org/drawingml/2006/main" xmlns:pic="http://schemas.openxmlformats.org/drawingml/2006/picture">
            <wp:extent cx="5450586" cy="5724000"/>
            <wp:docPr id="1" name="Picture 1"/>
            <wp:cNvGraphicFramePr>
              <a:graphicFrameLocks noChangeAspect="1"/>
            </wp:cNvGraphicFramePr>
            <a:graphic>
              <a:graphicData uri="http://schemas.openxmlformats.org/drawingml/2006/picture">
                <pic:pic>
                  <pic:nvPicPr>
                    <pic:cNvPr id="0" name="S 2786-2023 karta.png"/>
                    <pic:cNvPicPr/>
                  </pic:nvPicPr>
                  <pic:blipFill>
                    <a:blip r:embed="rId16"/>
                    <a:stretch>
                      <a:fillRect/>
                    </a:stretch>
                  </pic:blipFill>
                  <pic:spPr>
                    <a:xfrm>
                      <a:off x="0" y="0"/>
                      <a:ext cx="5450586"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6335656, E 617804 i SWEREF 99 TM.</w:t>
      </w:r>
    </w:p>
    <w:p>
      <w:r>
        <w:t>I och inom 15 meter från samrådsanmälan finns fynd av 10 naturvårdsarter, varav 4 är rödlistade, 6 är fridlysta, 2 är typiska (T) och 1 är signalart (S): ask (EN), jordtistel (NT), korskovall (NT), vårärt (NT, T), tvåblad (S, §8), blåsippa (T, §9), johannesnycklar (§8), krutbrännare (§8), sankt pers 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