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27 naturvårdsarter, varav 21 är rödlistade, 1 är fridlyst, 7 är typiska (T) och 4 är signalarter (S): Coniocarpon fallax (CR), brandtaggsvamp (EN), knölig taggsvamp (EN), duvspindling (VU), granrotspindling (VU), gul lammticka (VU), gulsträngad fagerspindling (VU), gyllenspindling (VU), svartgrön spindling (VU), trollspindling (VU), blek fingersvamp (NT), blå slemspindling (NT, T), dofttaggsvamp (NT, T), fjällig taggsvamp s.str. (NT), kryddspindling (NT, T), odörspindling (NT), orange taggsvamp (NT, T), rödfläckig zontaggsvamp (NT), svart taggsvamp (NT), vårärt (NT, T), äggspindling (NT), anisspindling (S), brandmusseron (S), fransig jordstjärna (S), olivspindling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