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31 naturvårdsarter, varav 22 är rödlistade, 5 är fridlysta, 2 är typiska (T) och 5 är signalarter (S): sträv jordstjärna (EN), svartnande fingersvamp (EN), Clitopaxillus alexandri (VU), duvspindling (VU), gulsträngad fagerspindling (VU), narrspindling (VU), svartgrön spindling (VU), trollspindling (VU), ullmusseron (VU), vit taggsvamp (VU), axveronika (NT), backtimjan (NT), barrviolspindling (NT), bittermusseron (NT), blå slemspindling (NT, T), denisespindling (NT), kryddspindling (NT, T), loppstarr (NT), majviva (NT), odörspindling (NT), solvända (NT), ängsstarr (NT), anisspindling (S), besk kastanjemusseron (S), flugblomster (S, §8), fransig jordstjärna (S), olivspindling (S),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Sträv jordstjärna (EN)</w:t>
      </w:r>
      <w:r>
        <w:t xml:space="preserve"> är en starkt hotad art som växer i gles, helst betad skog på kalkrik mark, gärna i barrmattor eller i anslutning till gamla trädstammar, murkna stubbar eller på och kring myrstackar. Arten är placerad högst upp i Skogsstyrelsens värdepyramid för bedömning av skog med höga naturvärden. Dess starka fästen i gotländska kalkbarrskogar är internationellt viktiga och bör, tillsammans med andra arter i samma miljö, bilda underlag i det fortsatta naturvårdsarbetet för betade kalkbarrskogar (SLU Artdatabanken, 2024;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