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och inom 11 meter från avverkningsanmälan finns fynd av 12 naturvårdsarter, varav 9 är rödlistade, 1 är fridlyst, 1 är typisk (T) och 3 är signalarter (S): granrotspindling (VU), gulsträngad fagerspindling (VU), narrspindling (VU), trollspindling (VU), vit taggsvamp (VU), blå slemspindling (NT, T), brun ögontröst (NT, §8), flattoppad klubbsvamp (NT), odörspindling (NT), anisspindling (S), besk kastanjemusseron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