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42411-2026 i Gotlands kommun</w:t>
      </w:r>
    </w:p>
    <w:p>
      <w:r>
        <w:t>Denna tillsynsbegäran behandlar höga naturvärden i avverkningsanmälan A 42411-2026 i Gotlands kommun som inkom 2026-10-12 och omfattar 1,0 ha.</w:t>
      </w:r>
    </w:p>
    <w:p>
      <w:pPr>
        <w:pStyle w:val="Caption"/>
      </w:pPr>
      <w:r>
        <w:drawing>
          <wp:inline xmlns:a="http://schemas.openxmlformats.org/drawingml/2006/main" xmlns:pic="http://schemas.openxmlformats.org/drawingml/2006/picture">
            <wp:extent cx="5200387" cy="5724000"/>
            <wp:docPr id="1" name="Picture 1"/>
            <wp:cNvGraphicFramePr>
              <a:graphicFrameLocks noChangeAspect="1"/>
            </wp:cNvGraphicFramePr>
            <a:graphic>
              <a:graphicData uri="http://schemas.openxmlformats.org/drawingml/2006/picture">
                <pic:pic>
                  <pic:nvPicPr>
                    <pic:cNvPr id="0" name="A 42411-2026 karta.png"/>
                    <pic:cNvPicPr/>
                  </pic:nvPicPr>
                  <pic:blipFill>
                    <a:blip r:embed="rId16"/>
                    <a:stretch>
                      <a:fillRect/>
                    </a:stretch>
                  </pic:blipFill>
                  <pic:spPr>
                    <a:xfrm>
                      <a:off x="0" y="0"/>
                      <a:ext cx="520038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6418165, E 720125 i SWEREF 99 TM.</w:t>
      </w:r>
    </w:p>
    <w:p>
      <w:r>
        <w:t>I och inom 25 meter från avverkningsanmälan finns fynd av 27 naturvårdsarter, varav 21 är rödlistade, 1 är fridlyst, 6 är typiska (T) och 5 är signalarter (S): bullspindling (VU), duvspindling (VU), granrotspindling (VU), gulsträngad fagerspindling (VU), pluggtrattskivling (VU), svartgrön spindling (VU), trollspindling (VU), vit taggsvamp (VU), ädellav (VU, T), blå slemspindling (NT, T), blå taggsvamp (NT, T), fjällig taggsvamp s.str. (NT), flattoppad klubbsvamp (NT), odörspindling (NT), orangepudrad klotterlav (NT), rödfläckig zontaggsvamp (NT), skarp dropptaggsvamp (NT), svart taggsvamp (NT), sårläka (NT, T), vårärt (NT, T), äggspindling (NT), anisspindling (S), brandmusseron (S), fransig jordstjärna (S), kragjordstjärna (S), nästrot (S, §8) och kransmossa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Pluggtrattskivling (VU)</w:t>
      </w:r>
      <w:r>
        <w:t>, rödlistad som sårbar,</w:t>
      </w:r>
      <w:r>
        <w:rPr>
          <w:b/>
        </w:rPr>
        <w:t xml:space="preserve"> </w:t>
      </w:r>
      <w:r>
        <w:t>är en stor, kraftig och uppmärksammad svamp som uppenbart är mycket ovanlig. Den växer i förna under barrträd i gammal barrskog, helst ängsgranskog på kalkrik mark. Skogsbruk, särskilt slutavverkning, inverkar negativt på arten. Den är troligen också känslig för gallring och markberedning (SLU Artdatabanken, 2024).</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Orangepudrad klotterlav (NT)</w:t>
      </w:r>
      <w:r>
        <w:t xml:space="preserve"> växer på ved och bark av bok, men även andra lövträd, i skogar och bryn med hög luftfuktighet. Arten förekommer mest i fuktiga och skuggiga, slutna skogar, raviner och branter, oftast på mycket gamla, helt eller delvis döda träd med blottad ved. Den kan även finnas på lite öppnare lokaler men är bunden till skog och lövängar med lång kontinuitet. I Mellansverige växer den i gamla ädellövsskogar med hög luftfuktighet vid basen av lövträd. Arten växer ofta tillsammans med flera andra rödlistade lavar. På lokaler med arten får inte ljus- och fuktighetsförhållanden ändras eller den skogliga kontinuiteten brytas (SLU Artdatabanken, 2026).</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ädellav (VU, T), blå slemspindling (NT, T), blå taggsvamp (NT, T), sårläka (NT, T), vårärt (NT, T) och kransmossa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