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6960-2025 i Gotlands kommun</w:t>
      </w:r>
    </w:p>
    <w:p>
      <w:r>
        <w:t>Detta dokument behandlar höga naturvärden i avverkningsanmälan A 6960-2025 i Gotlands kommun. Denna avverkningsanmälan inkom 2025-02-13 11:51:30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majviva (NT), spillkråka (NT, §4), svinrot (NT), ängsstarr (NT), skogsknipprot (S, §8), Dactylorhiza incarnata subsp. incarnata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960-2025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6383394, E 720386 i SWEREF 99 TM.</w:t>
      </w:r>
    </w:p>
    <w:p>
      <w:pPr>
        <w:pStyle w:val="Heading1"/>
      </w:pPr>
      <w:r>
        <w:t>Fridlysta arter</w:t>
      </w:r>
    </w:p>
    <w:p>
      <w:r>
        <w:t>Följande fridlysta arter har sina livsmiljöer och växtplatser i den avverkningsanmälda skogen: spillkråka (NT, §4), skogsknipprot (S, §8), Dactylorhiza incarnata subsp. incarnata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622381"/>
            <wp:docPr id="2" name="Picture 2"/>
            <wp:cNvGraphicFramePr>
              <a:graphicFrameLocks noChangeAspect="1"/>
            </wp:cNvGraphicFramePr>
            <a:graphic>
              <a:graphicData uri="http://schemas.openxmlformats.org/drawingml/2006/picture">
                <pic:pic>
                  <pic:nvPicPr>
                    <pic:cNvPr id="0" name="A 6960-2025 karta knärot.png"/>
                    <pic:cNvPicPr/>
                  </pic:nvPicPr>
                  <pic:blipFill>
                    <a:blip r:embed="rId17"/>
                    <a:stretch>
                      <a:fillRect/>
                    </a:stretch>
                  </pic:blipFill>
                  <pic:spPr>
                    <a:xfrm>
                      <a:off x="0" y="0"/>
                      <a:ext cx="5486400" cy="7622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6383394, E 720386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