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14450-2023 i Gotlands kommun</w:t>
      </w:r>
    </w:p>
    <w:p>
      <w:r>
        <w:t>Detta klagomål behandlar höga naturvärden i avverkningsanmälan A 14450-2023 i Gotlands kommun som inkom 2023-03-27 och omfattar 11,6 ha.</w:t>
      </w:r>
    </w:p>
    <w:p>
      <w:pPr>
        <w:pStyle w:val="Caption"/>
      </w:pPr>
      <w:r>
        <w:drawing>
          <wp:inline xmlns:a="http://schemas.openxmlformats.org/drawingml/2006/main" xmlns:pic="http://schemas.openxmlformats.org/drawingml/2006/picture">
            <wp:extent cx="5486400" cy="4857141"/>
            <wp:docPr id="1" name="Picture 1"/>
            <wp:cNvGraphicFramePr>
              <a:graphicFrameLocks noChangeAspect="1"/>
            </wp:cNvGraphicFramePr>
            <a:graphic>
              <a:graphicData uri="http://schemas.openxmlformats.org/drawingml/2006/picture">
                <pic:pic>
                  <pic:nvPicPr>
                    <pic:cNvPr id="0" name="A 14450-2023 karta.png"/>
                    <pic:cNvPicPr/>
                  </pic:nvPicPr>
                  <pic:blipFill>
                    <a:blip r:embed="rId16"/>
                    <a:stretch>
                      <a:fillRect/>
                    </a:stretch>
                  </pic:blipFill>
                  <pic:spPr>
                    <a:xfrm>
                      <a:off x="0" y="0"/>
                      <a:ext cx="5486400" cy="4857141"/>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6359099, E 693084 i SWEREF 99 TM.</w:t>
      </w:r>
    </w:p>
    <w:p>
      <w:r>
        <w:t>I och inom 22 meter från avverkningsanmälan finns fynd av 37 naturvårdsarter, varav 24 är rödlistade, 6 är fridlysta, 5 är typiska (T) och 10 är signalarter (S): bullspindling (VU), duvspindling (VU), granrotspindling (VU), gulsträngad fagerspindling (VU), pluggtrattskivling (VU), svartgrön spindling (VU), trollspindling (VU), ullmusseron (VU), vit taggsvamp (VU), backtimjan (NT), bittermusseron (NT), blå slemspindling (NT, T), denisespindling (NT), dårgräsfjäril (NT, §4a), fjällig taggsvamp s.str. (NT), flattoppad klubbsvamp (NT), grönnopping (NT), gulsparv (NT, §4), jordtistel (NT), kattfotslav (NT, T), mjölsvärting (NT), odörspindling (NT), rödfläckig zontaggsvamp (NT), svinrot (NT), anisspindling (S), diskvaxskivling (S), fransig jordstjärna (S), kastanjefjällskivling (S), mindre märgborre (S, T), murgröna (S, T), nästrot (S, §8), olivspindling (S), rödgul trumpetsvamp (S), vågbandad barkbock (S), blåsippa (T, §9), sankt pers nycklar (§8)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Bullspindling (VU)</w:t>
      </w:r>
      <w:r>
        <w:t xml:space="preserve"> är en kräsen och mycket bra signalart för skyddsvärda äldre granskogar på kalkrik mark. Den är placerad högst upp i Skogsstyrelsens värdepyramid för bedömning av skog med höga naturvärden och skogsbruk, främst kalavverkning utgör ett stort hot mot arten. Artens minskningstakt uppgår till 30 % inom 50 år och överstiger gränsvärdet för Sårbar (VU) (SLU Artdatabanken, 2024; Nitare &amp; Skogsstyrelsen, 2019).</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Pluggtrattskivling (VU)</w:t>
      </w:r>
      <w:r>
        <w:t>, rödlistad som sårbar,</w:t>
      </w:r>
      <w:r>
        <w:rPr>
          <w:b/>
        </w:rPr>
        <w:t xml:space="preserve"> </w:t>
      </w:r>
      <w:r>
        <w:t>är en stor, kraftig och uppmärksammad svamp som uppenbart är mycket ovanlig. Den växer i förna under barrträd i gammal barrskog, helst ängsgranskog på kalkrik mark. Skogsbruk, särskilt slutavverkning, inverkar negativt på arten. Den är troligen också känslig för gallring och markberedning (SLU Artdatabanken, 2024).</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Trollspindling (VU)</w:t>
      </w:r>
      <w:r>
        <w:t xml:space="preserve"> är en ytterst sällsynt ädelspindling som bildar mykorrhiza med tall och gran i ljusöppen och luckig kalkbarrskog. Främsta hotet är rationellt skogsbruk med slutavverkning eller andra avverkningar. Skydda kända lokaler formellt och om svampen påträffas på nya lokaler bör även dessa skyddas (SLU Artdatabanken, 2026).</w:t>
      </w:r>
    </w:p>
    <w:p>
      <w:r>
        <w:rPr>
          <w:b/>
        </w:rPr>
        <w:t>Ullmusseron (VU)</w:t>
      </w:r>
      <w:r>
        <w:t xml:space="preserve"> bildar mykorrhiza med gran, eventuellt även med tall, i kalkbarrskog, sällsynt även med bok i bokskog på kalkrik mark. Arten har sin huvudsakliga förekomst på Gotland. En handfull bekräftade fynd finns från norra Öland och från kalkrik bokskog i Skåne. Den totala populationen i landet har minskat kraftigt och bedöms fortsätta minska på grund av avverkning av kalkbarrskogar och tilltagande fragmentering av artens livsmiljöer.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(SLU Artdatabanken, 2026).</w:t>
      </w:r>
    </w:p>
    <w:p>
      <w:r>
        <w:rPr>
          <w:b/>
        </w:rPr>
        <w:t xml:space="preserve">Vit taggsvamp (VU) </w:t>
      </w:r>
      <w:r>
        <w:t>bildar mykorrhiza med gran och tall i äldre ängsgranskog och hällmarksbarrskog på kalkrik mark. Kända aktuella lokaler finns endast på Gotland. Det främsta hotet mot arten är avverkning av dess värdträd gran och tall och kända lokaler bör undantas från avverkning för att säkra att dessa hålls intakta (SLU Artdatabanken, 2024).</w:t>
      </w:r>
    </w:p>
    <w:p>
      <w:r>
        <w:rPr>
          <w:b/>
        </w:rPr>
        <w:t>Bittermusseron (NT)</w:t>
      </w:r>
      <w:r>
        <w:t xml:space="preserve"> är en kalkgynnad och värmeälskande förnasvamp som påträffas i äldre kalkbarrskogar, gärna på relativt torr mark. Virkesrika, äldre barrskogar med hög bonitet, på bättre jordar är en bristvara i befintliga, skyddade områden i Sverige. Därför måste fler örtrika barrskogar, särskilt de med trädkontinuitet, skyddas i större utsträckning än vad som tidigare gjorts. Uttag av skog ska helst göras genom plockhuggning, blädning eller andra alternativa, skonsamma avverkningsformer (SLU Artdatabanken, 2024; Nitare &amp; Skogsstyrelsen, 2019).</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Denisespindling (NT)</w:t>
      </w:r>
      <w:r>
        <w:t xml:space="preserve"> bildar mykorrhiza med tall och gran i kalktallskog och ängsgranskog på kalkrik mark. Artens koppling till produktiva äldre granskogar med hög bonitet gör den särskilt utsatt för slutavverkning. Kalkbarrskogar med höga naturvärden bör undantas från rationellt skogsbruk och få områdesskydd med anpassade skötselråd (SLU Artdatabanken, 2024).</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Rödfläckig zontaggsvamp (NT)</w:t>
      </w:r>
      <w:r>
        <w:t xml:space="preserve"> bildar mykorrhiza med gran i barrskog på kalkrik eller annan basiskt påverkad mark. Den totala populationen i landet har minskat och bedöms fortsätta minska till följd av avverkning av äldre kalkbarrskog. Det finns inga indikationer på att arten långsiktigt kan etablera eller reproducera sig i skogsbestånd som brukas med trakthyggesmetoder, markberedning, gödsling eller föryngring med förädlat plantmaterial (SLU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34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37 naturvårdsarter varav 24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