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och inom 14 meter från avverkningsanmälan finns fynd av 21 naturvårdsarter, varav 12 är rödlistade, 5 är fridlysta, 7 är typiska (T) och 7 är signalarter (S): ask (EN), fågelträcksspindling (VU), granrotspindling (VU), igelkott (VU), knärot (VU, T, §8), svartgrön spindling (VU), vit taggsvamp (VU), backtimjan (NT), blå slemspindling (NT, T), flattoppad klubbsvamp (NT), odörspindling (NT), sårläka (NT, T), anisspindling (S), diskvaxskivling (S), grönpyrola (S, T), nästrot (S, §8), purpurknipprot (S, §8), skogsknipprot (S, T, §8), svavelriska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1477-2024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6416533, E 721375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