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39376-2023 i Gotlands kommun</w:t>
      </w:r>
    </w:p>
    <w:p>
      <w:r>
        <w:t>Detta klagomål behandlar höga naturvärden i avverkningsanmälan A 39376-2023 i Gotlands kommun som inkom 2023-08-28 och omfattar 9,2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A 39376-2023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6371676, E 728392 i SWEREF 99 TM.</w:t>
      </w:r>
    </w:p>
    <w:p>
      <w:r>
        <w:t>I avverkningsanmälan finns fynd av 18 naturvårdsarter, varav 12 är rödlistade, 1 är fridlyst, 3 är typiska (T) och 6 är signalarter (S): granrotspindling (VU), kopparspindling (VU), narrspindling (VU), blå slemspindling (NT, T), denisespindling (NT), fjällig taggsvamp s.str. (NT), flattoppad klubbsvamp (NT), kattfotslav (NT, T), odörspindling (NT), persiljespindling (NT), skarp dropptaggsvamp (NT), äggspindling (NT), anisspindling (S), björksplintborre (S), olivspindling (S), rödgul trumpetsvamp (S), skogsknipprot (S, T, §8)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