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44928-2022 i Gotlands kommun</w:t>
      </w:r>
    </w:p>
    <w:p>
      <w:r>
        <w:t>Denna tillsynsbegäran behandlar höga naturvärden i avverkningsanmälan A 44928-2022 i Gotlands kommun som inkom 2022-10-07 och omfattar 3,7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44928-2022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6364018, E 699370 i SWEREF 99 TM.</w:t>
      </w:r>
    </w:p>
    <w:p>
      <w:r>
        <w:t>I och inom 15 meter från avverkningsanmälan finns fynd av 14 naturvårdsarter, varav 10 är rödlistade, 1 är fridlyst, 3 är typiska (T) och 4 är signalarter (S): barkkvastmossa (EN, T, §8), gulsträngad fagerspindling (VU), mörk kraterlav (VU), tvillingspindling (VU), blå slemspindling (NT, T), kattfotslav (NT, T), odörspindling (NT), puderspindling (NT), ängsstarr (NT), frostig asplav (DD), anisspindling (S), axag (S), kärrlilja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Barkkvastmossa (EN, §8) </w:t>
      </w:r>
      <w:r>
        <w:t xml:space="preserve">är en starkt hotad art som växer på bark av gamla ädellövträd. Miljöerna utgörs ofta av äldre lövrika blandskogar med hög luftfuktighet, t.ex. i närheten av vattendrag och glupar. Arten är fridlyst enligt 8 § artskyddsförordningen och omfattas av ett åtgärdsprogram för hotade arter (ÅGP) samt av EU:s art- och habitatdirektiv där dess bevarandestatus är dålig med negativ trend. Skogsbruksåtgärder som minskar mängden rikbarksträd och luftfuktigheten på lokalerna utgör ett hot mot barkkvastmossan. Samtliga kända lokaler måste ges ett ändamålsenligt skydd där trädslag som ask, lind, ek och klibbal gynnas. Barkkvastmossa är typisk art för </w:t>
      </w:r>
      <w:r>
        <w:rPr>
          <w:i/>
        </w:rPr>
        <w:t>9760 Svämädellövskog</w:t>
      </w:r>
      <w:r>
        <w:t xml:space="preserve">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Frostig asplav (DD)</w:t>
      </w:r>
      <w:r>
        <w:t xml:space="preserve"> växer på slätbarkiga träd (ask och rönn) i öppna skogar med hög luftfuktighet. Askskottssjuka är ett allvarligt hot, men även dränering av och avverkning på artens lokaler utgör hot. Bara ett fåtal av lokalerna är skyddade. Lokaler med arten bör skyddas. Avverkning och dränering av lokaler bör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