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29 naturvårdsarter, varav 19 är rödlistade, 5 är fridlysta, 4 är typiska (T) och 9 är signalarter (S): sienamusseron (EN), svartnande fingersvamp (EN), fågelträcksspindling (VU), granrotspindling (VU), gulsträngad fagerspindling (VU), mörkfjällig olivspindling (VU), svartfläckig blåvinge (VU, §4a), svartgrön spindling (VU), tvillingspindling (VU), vit taggsvamp (VU), backtimjan (NT), blå slemspindling (NT, T), dårgräsfjäril (NT, §4a), kryddspindling (NT, T), odörspindling (NT), slåtterfibbla (NT, T), solvända (NT), svinrot (NT), äggspindling (NT), anisspindling (S), blomkålssvamp (S), blåmossa (S, T), diskvaxskivling (S), fransig jordstjärna (S), nästrot (S, §8), purpurknipprot (S, §8), rödgul trumpetsvamp (S), toppvaxing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