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6736-2022 i Gotlands kommun</w:t>
      </w:r>
    </w:p>
    <w:p>
      <w:r>
        <w:t>Denna tillsynsbegäran behandlar höga naturvärden i samrådsanmälan S 6736-2022 i Gotlands kommun som inkom 2022-11-24 och omfattar 0,7 ha.</w:t>
      </w:r>
    </w:p>
    <w:p>
      <w:pPr>
        <w:pStyle w:val="Caption"/>
      </w:pPr>
      <w:r>
        <w:drawing>
          <wp:inline xmlns:a="http://schemas.openxmlformats.org/drawingml/2006/main" xmlns:pic="http://schemas.openxmlformats.org/drawingml/2006/picture">
            <wp:extent cx="5486400" cy="5355728"/>
            <wp:docPr id="1" name="Picture 1"/>
            <wp:cNvGraphicFramePr>
              <a:graphicFrameLocks noChangeAspect="1"/>
            </wp:cNvGraphicFramePr>
            <a:graphic>
              <a:graphicData uri="http://schemas.openxmlformats.org/drawingml/2006/picture">
                <pic:pic>
                  <pic:nvPicPr>
                    <pic:cNvPr id="0" name="S 6736-2022 karta.png"/>
                    <pic:cNvPicPr/>
                  </pic:nvPicPr>
                  <pic:blipFill>
                    <a:blip r:embed="rId16"/>
                    <a:stretch>
                      <a:fillRect/>
                    </a:stretch>
                  </pic:blipFill>
                  <pic:spPr>
                    <a:xfrm>
                      <a:off x="0" y="0"/>
                      <a:ext cx="5486400" cy="5355728"/>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6360059, E 697400 i SWEREF 99 TM.</w:t>
      </w:r>
    </w:p>
    <w:p>
      <w:r>
        <w:t>I samrådsanmälan finns fynd av 1 naturvårdsarter, varav 1 är rödlistad: violettfläckig spindling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Violettfläckig spindling (VU)</w:t>
      </w:r>
      <w:r>
        <w:t xml:space="preserve"> bildar mykorrhiza med gran och tall i äldre kalkbarrskogar på torr, örtrik mark. Minskningstakten uppgår till 30 % inom 50 år och överstiger gränsvärdet för Sårbar (VU). Artens ekologiska krav med fynd enbart i äldre, örtrika kalkbarrskogar med kontinuitet, miljöer som idag ofta är starkt hotade av slutavverkningar, gör den mycket sårbar. Alla kända lokaler har ett högt skyddsvärde och kalkbarrskogar med höga naturvärden bör få områdesskydd med individuellt anpassade skötselråd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