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530-2024 i Gotlands kommun</w:t>
      </w:r>
    </w:p>
    <w:p>
      <w:r>
        <w:t>Denna tillsynsbegäran behandlar höga naturvärden i avverkningsanmälan A 530-2024 i Gotlands kommun som inkom 2024-01-08 och omfattar 6,5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6408257, E 727915 i SWEREF 99 TM.</w:t>
      </w:r>
    </w:p>
    <w:p>
      <w:r>
        <w:t>I och inom 22 meter från avverkningsanmälan finns fynd av 23 naturvårdsarter, varav 13 är rödlistade, 10 är fridlysta, 3 är typiska (T) och 4 är signalarter (S): ask (EN), klenodspindling (EN), granrotspindling (VU), mörkfjällig olivspindling (VU), svartgrön spindling (VU), blå slemspindling (NT, T), fjällig taggsvamp s.str. (NT), flattoppad klubbsvamp (NT), grönsångare (NT, §4), odörspindling (NT), skarp dropptaggsvamp (NT), svinrot (NT), äggspindling (NT), nästrot (S, §8), olivspindling (S), skogsknipprot (S, T, §8), tvåblad (S, §8), blåsippa (T, §9), grönsiska (§4), halsbandsflugsnappare (§4), fläcknycklar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Klenodspindling (EN)</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2026;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