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61697-2023 i Gotlands kommun</w:t>
      </w:r>
    </w:p>
    <w:p>
      <w:r>
        <w:t>Detta klagomål behandlar höga naturvärden i avverkningsanmälan A 61697-2023 i Gotlands kommun som inkom 2023-12-05 och omfattar 8,7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6411743, E 736754 i SWEREF 99 TM.</w:t>
      </w:r>
    </w:p>
    <w:p>
      <w:r>
        <w:t>I och inom 13 meter från avverkningsanmälan finns fynd av 17 naturvårdsarter, varav 13 är rödlistade, 3 är fridlysta, 3 är typiska (T) och 3 är signalarter (S): tallkejsarspindling (EN), bullspindling (VU), duvspindling (VU), granrotspindling (VU), gulsträngad fagerspindling (VU), läderdoftande fingersvamp (VU), ryl (VU, T), svartgrön spindling (VU), violettrandad spindling (VU), denisespindling (NT), odörspindling (NT), röd skogslilja (NT, §8), säfferot (NT), anisspindling (S), murgröna (S, T), nästrot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Tallkejsarspindling (EN)</w:t>
      </w:r>
      <w:r>
        <w:t xml:space="preserve"> är en starkt hotad art som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