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27168-2022 i Gotlands kommun</w:t>
      </w:r>
    </w:p>
    <w:p>
      <w:r>
        <w:t>Detta klagomål behandlar höga naturvärden i avverkningsanmälan A 27168-2022 i Gotlands kommun som inkom 2022-06-29 och omfattar 2,2 ha.</w:t>
      </w:r>
    </w:p>
    <w:p>
      <w:pPr>
        <w:pStyle w:val="Caption"/>
      </w:pPr>
      <w:r>
        <w:drawing>
          <wp:inline xmlns:a="http://schemas.openxmlformats.org/drawingml/2006/main" xmlns:pic="http://schemas.openxmlformats.org/drawingml/2006/picture">
            <wp:extent cx="5486400" cy="4767221"/>
            <wp:docPr id="1" name="Picture 1"/>
            <wp:cNvGraphicFramePr>
              <a:graphicFrameLocks noChangeAspect="1"/>
            </wp:cNvGraphicFramePr>
            <a:graphic>
              <a:graphicData uri="http://schemas.openxmlformats.org/drawingml/2006/picture">
                <pic:pic>
                  <pic:nvPicPr>
                    <pic:cNvPr id="0" name="A 27168-2022 karta.png"/>
                    <pic:cNvPicPr/>
                  </pic:nvPicPr>
                  <pic:blipFill>
                    <a:blip r:embed="rId16"/>
                    <a:stretch>
                      <a:fillRect/>
                    </a:stretch>
                  </pic:blipFill>
                  <pic:spPr>
                    <a:xfrm>
                      <a:off x="0" y="0"/>
                      <a:ext cx="5486400" cy="476722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6385196, E 693843 i SWEREF 99 TM.</w:t>
      </w:r>
    </w:p>
    <w:p>
      <w:r>
        <w:t>I och inom 25 meter från avverkningsanmälan finns fynd av 13 naturvårdsarter, varav 4 är rödlistade, 9 är fridlysta, 1 är typisk (T) och 4 är signalarter (S): bredbrämad bastardsvärmare (VU), gotlandsmåra (VU), solvända (NT), svinrot (NT), purpurknipprot (S, §8), skogsknipprot (S, T, §8), tvåblad (S, §8), vit skogslilja (S, §8), citronfläckad kärrtrollslända (§4a), brudsporre (§8), fläcknycklar (§8), kärrknipprot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