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27759-2026 i Gotlands kommun</w:t>
      </w:r>
    </w:p>
    <w:p>
      <w:r>
        <w:t>Detta klagomål behandlar höga naturvärden i avverkningsanmälan A 27759-2026 i Gotlands kommun som inkom 2026-06-18 och omfattar 12,1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A 27759-2026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6394935, E 719516 i SWEREF 99 TM.</w:t>
      </w:r>
    </w:p>
    <w:p>
      <w:r>
        <w:t>I och inom 18 meter från avverkningsanmälan finns fynd av 32 naturvårdsarter, varav 15 är rödlistade, 8 är fridlysta, 12 är typiska (T) och 10 är signalarter (S): cinnoberfläck (CR), Coniocarpon fallax (CR), ask (EN), lundalm (EN), aspfjädermossa (VU, T), gulsträngad fagerspindling (VU), mörk kraterlav (VU), tvådoftspindling (VU), ädellav (VU, T), fjällig taggsvamp s.str. (NT), kattfotslav (NT, T), odörspindling (NT), svinrot (NT), sårläka (NT, T), vårärt (NT, T), anisspindling (S), havstulpanlav (S, T), korallblylav (S, T), murgröna (S, T), Pluteus cyanopus (S), rikfruktig blemlav (S), skogsknipprot (S, T, §8), svavelriska (S), tvåblad (S, §8), underviol (S, T), ormbär (T), spillkråka (T, §4), kråka (§4), skogsduva (§4), fläcknycklar (§8),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Cinnoberfläck CR)</w:t>
      </w:r>
      <w:r>
        <w:t xml:space="preserve"> är en akut hotad art som förekommer på ask eller sällsynt på hassel, även uppe i kronor på hamlade träd. Lokalerna har oftast hög markfuktighet och är oftast relativt skuggiga. Fynd har gjorts i sumpskog och igenväxta lövskogar eller lövängar. Askskottssjukan påverkar arten starkt negativt. Skogsbruk bör undvikas (SLU Artdatabanken, 2026).</w:t>
      </w:r>
    </w:p>
    <w:p>
      <w:r>
        <w:rPr>
          <w:b/>
          <w:i/>
        </w:rPr>
        <w:t xml:space="preserve">Coniocarpon fallax </w:t>
      </w:r>
      <w:r>
        <w:rPr>
          <w:b/>
        </w:rPr>
        <w:t>(CR)</w:t>
      </w:r>
      <w:r>
        <w:t xml:space="preserve"> förekommer på ask eller sällsynt på hassel. Askskottssjukan påverkar arten starkt negativt och Minskningstakten överstiger gränsvärdet för Akut hotad (CR) (SLU Artdatabanken, 2026).</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Tvådoftspindling (VU)</w:t>
      </w:r>
      <w:r>
        <w:t xml:space="preserve"> bildar mykorrhiza med gran i ängsgranskog och barrblandskog på kalkrik mark. Växer framförallt i äldre skogsbestånd, ofta på s.k. "hotspots" tillsammans med flera andra rödlistade marksvampar. Arten påverkas negativt av brist på kontinuitetsskog och total population i landet bedöms ha minskat och minskar fortsatt p.g.a. slutavverkningar av äldre kalkbarrskog (SLU Artdatabanken, 2026).</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