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Denna tillsynsbegäran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20 naturvårdsarter, varav 16 är rödlistade, 3 är fridlysta, 4 är typiska (T) och 3 är signalarter (S): ask (EN), sienamusseron (EN), garderönn (VU, §7), gulsträngad fagerspindling (VU), svartgrön spindling (VU), trollspindling (VU), violettfläckig spindling (VU), backtimjan (NT), blå slemspindling (NT, T), denisespindling (NT), dårgräsfjäril (NT, §4a), flattoppad klubbsvamp (NT), odörspindling (NT), solvända (NT), svinrot (NT), vårärt (NT, T), anisspindling (S), grovticka (S, T), olivspindling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