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1273-2023 i Gotlands kommun</w:t>
      </w:r>
    </w:p>
    <w:p>
      <w:r>
        <w:t>Detta klagomål behandlar höga naturvärden i avverkningsanmälan A 1273-2023 i Gotlands kommun som inkom 2023-01-10 och omfattar 4,5 ha.</w:t>
      </w:r>
    </w:p>
    <w:p>
      <w:pPr>
        <w:pStyle w:val="Caption"/>
      </w:pPr>
      <w:r>
        <w:drawing>
          <wp:inline xmlns:a="http://schemas.openxmlformats.org/drawingml/2006/main" xmlns:pic="http://schemas.openxmlformats.org/drawingml/2006/picture">
            <wp:extent cx="5486400" cy="4467102"/>
            <wp:docPr id="1" name="Picture 1"/>
            <wp:cNvGraphicFramePr>
              <a:graphicFrameLocks noChangeAspect="1"/>
            </wp:cNvGraphicFramePr>
            <a:graphic>
              <a:graphicData uri="http://schemas.openxmlformats.org/drawingml/2006/picture">
                <pic:pic>
                  <pic:nvPicPr>
                    <pic:cNvPr id="0" name="A 1273-2023 karta.png"/>
                    <pic:cNvPicPr/>
                  </pic:nvPicPr>
                  <pic:blipFill>
                    <a:blip r:embed="rId16"/>
                    <a:stretch>
                      <a:fillRect/>
                    </a:stretch>
                  </pic:blipFill>
                  <pic:spPr>
                    <a:xfrm>
                      <a:off x="0" y="0"/>
                      <a:ext cx="5486400" cy="4467102"/>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6360961, E 704370 i SWEREF 99 TM.</w:t>
      </w:r>
    </w:p>
    <w:p>
      <w:r>
        <w:t>Inom 24 meter från avverkningsanmälan finns fynd av 4 naturvårdsarter, varav 3 är rödlistade, 2 är fridlysta, 2 är typiska (T) och 1 är signalart (S): garderönn (VU, §7), svinrot (NT), vårärt (NT, T) och skogsknipprot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Garderönn (VU, §7)</w:t>
      </w:r>
      <w:r>
        <w:t xml:space="preserve"> är strikt skyddad enligt §7 Artskyddsförordningen (bilaga 1) vilket innebär att hela dess livsmiljö ska bevaras. Den är enbart är känd från ett mindre område på östra Gotland där den växer i gles kalktallskog och på kalkhällar. Arten hotas genom sin lilla population. Markägare och verksamma inom skogsnäringen inom det område där garderönnen växer måste lära sig känna igen denna strikt skyddade art, för att undvika att skada den av misstag. Garderönn är globalt rödlistad som sårbar (VU) vilket innebär att Sverige har ett internationellt ansvar för arten (SLU Artdatabanken, 2026; IUCN, 2021).</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