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10699-2020 i Gotlands kommun</w:t>
      </w:r>
    </w:p>
    <w:p>
      <w:r>
        <w:t>Detta dokument behandlar höga naturvärden i avverkningsanmälan A 10699-2020 i Gotlands kommun. Denna avverkningsanmälan inkom 2020-02-27 och omfattar 51,4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luktsporre (NT, §8), röd skogslilja (NT, §8), småtörel (NT), anisspindling (S), nästrot (S, §8), purpurknipprot (S, §8), fläcknycklar (§8) och kärrknipprot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2138"/>
            <wp:docPr id="1" name="Picture 1"/>
            <wp:cNvGraphicFramePr>
              <a:graphicFrameLocks noChangeAspect="1"/>
            </wp:cNvGraphicFramePr>
            <a:graphic>
              <a:graphicData uri="http://schemas.openxmlformats.org/drawingml/2006/picture">
                <pic:pic>
                  <pic:nvPicPr>
                    <pic:cNvPr id="0" name="A 10699-2020 karta.png"/>
                    <pic:cNvPicPr/>
                  </pic:nvPicPr>
                  <pic:blipFill>
                    <a:blip r:embed="rId16"/>
                    <a:stretch>
                      <a:fillRect/>
                    </a:stretch>
                  </pic:blipFill>
                  <pic:spPr>
                    <a:xfrm>
                      <a:off x="0" y="0"/>
                      <a:ext cx="5486400" cy="40521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6386356, E 690624 i SWEREF 99 TM.</w:t>
      </w:r>
    </w:p>
    <w:p>
      <w:pPr>
        <w:pStyle w:val="Heading1"/>
      </w:pPr>
      <w:r>
        <w:t>Fridlysta arter</w:t>
      </w:r>
    </w:p>
    <w:p>
      <w:r>
        <w:t>Följande fridlysta arter har sina livsmiljöer och växtplatser i den avverkningsanmälda skogen: luktsporre (NT, §8), röd skogslilja (NT, §8), nästrot (S, §8), purpurknipprot (S, §8), fläcknycklar (§8) och kärrknipprot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