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2213-2023 i Gotlands kommun</w:t>
      </w:r>
    </w:p>
    <w:p>
      <w:r>
        <w:t>Denna tillsynsbegäran behandlar höga naturvärden i avverkningsanmälan A 2213-2023 i Gotlands kommun som inkom 2023-01-16 och omfattar 2,7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6359777, E 703456 i SWEREF 99 TM.</w:t>
      </w:r>
    </w:p>
    <w:p>
      <w:r>
        <w:t>I och inom 23 meter från avverkningsanmälan finns fynd av 16 naturvårdsarter, varav 14 är rödlistade, 1 är fridlyst, 3 är typiska (T) och 2 är signalarter (S): garderönn (VU, §7), granrotspindling (VU), gulsträngad fagerspindling (VU), violettfläckig spindling (VU), backtimjan (NT), blå slemspindling (NT, T), dropptaggsvamp (NT, T), fjällig taggsvamp s.str. (NT), flattoppad klubbsvamp (NT), kryddspindling (NT, T), odörspindling (NT), smedbock (NT), solvända (NT), svinrot (NT),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