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4716-2024 i Gotlands kommun</w:t>
      </w:r>
    </w:p>
    <w:p>
      <w:r>
        <w:t>Denna tillsynsbegäran behandlar höga naturvärden i avverkningsanmälan A 4716-2024 i Gotlands kommun som inkom 2024-02-06 och omfattar 8,0 ha.</w:t>
      </w:r>
    </w:p>
    <w:p>
      <w:pPr>
        <w:pStyle w:val="Caption"/>
      </w:pPr>
      <w:r>
        <w:drawing>
          <wp:inline xmlns:a="http://schemas.openxmlformats.org/drawingml/2006/main" xmlns:pic="http://schemas.openxmlformats.org/drawingml/2006/picture">
            <wp:extent cx="4352454" cy="5724000"/>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43524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6358315, E 692988 i SWEREF 99 TM.</w:t>
      </w:r>
    </w:p>
    <w:p>
      <w:r>
        <w:t>I och inom 25 meter från avverkningsanmälan finns fynd av 57 naturvårdsarter, varav 36 är rödlistade, 15 är fridlysta, 7 är typiska (T) och 10 är signalarter (S): blek bananspindling (EN), bredbrämad bastardsvärmare (VU), bullspindling (VU), droppskivling (VU), duvspindling (VU), dvärgfjällskivling (VU), fjällfotad musseron (VU), fågelträcksspindling (VU), gulsträngad fagerspindling (VU), mörkfjällig olivspindling (VU), narrspindling (VU), praktspindling (VU), sammetsbockrot (VU), svartgrön spindling (VU), tallvaxskivling (VU), tvillingspindling (VU), ullmusseron (VU), violettfläckig spindling (VU), violettrandad spindling (VU), vit taggsvamp (VU), backtimjan (NT), barrfagerspindling (NT), blekspindling agg. (NT), denisespindling (NT), dropptaggsvamp (NT, T), dårgräsfjäril (NT, §4a), flattoppad klubbsvamp (NT), gulsparv (NT, §4), jordtistel (NT), kryddspindling (NT, T), majviva (NT), odörspindling (NT), reliktbock (NT, T), sandkremla (NT), slåtterfibbla (NT, T), pärlchampinjon (DD), anisspindling (S), besk kastanjemusseron (S), diskvaxskivling (S), kastanjefjällskivling (S), murgröna (S, T), olivspindling (S), purpurknipprot (S, §8), rödgul trumpetsvamp (S), skogsknipprot (S, T, §8), strimspindling (S), blåsippa (T, §9), grönsiska (§4), kråka (§4), skogsduva (§4), skogsödla (§6), brudsporre (§8), grönvit nattviol (§8), johannesnycklar (§8), kärrknipprot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Sandkremla (NT) </w:t>
      </w:r>
      <w:r>
        <w:t>bildar mykorrhiza med tall, i tallskog på sanddyner och tallhedar på kalkrik mark. Knuten till en väl avgränsad och väl genomsökt miljö och växer huvudsakligen i äldre skogsbestånd. Total population i landet bedöms fortgående att minska p.g.a. avverkning av äldre kalktallskog. Tallskog på sandig mark hyser en rad ovanliga svamparter och det är angeläget att sådana skogar undantas från avverkning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kryddspindling (NT, T), reliktbock (NT, T), slåtterfibbla (NT,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